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131445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3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fiscal year ended March 28, 2015</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20" w:hanging="285"/>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3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transition period from</w:t>
      </w:r>
      <w:r>
        <w:rPr>
          <w:rFonts w:ascii="Arial" w:cs="Arial" w:eastAsia="Arial" w:hAnsi="Arial"/>
          <w:sz w:val="18"/>
          <w:szCs w:val="18"/>
          <w:b w:val="1"/>
          <w:bCs w:val="1"/>
          <w:u w:val="single" w:color="auto"/>
          <w:color w:val="auto"/>
        </w:rPr>
        <w:t>_______</w:t>
      </w:r>
      <w:r>
        <w:rPr>
          <w:rFonts w:ascii="Arial" w:cs="Arial" w:eastAsia="Arial" w:hAnsi="Arial"/>
          <w:sz w:val="18"/>
          <w:szCs w:val="18"/>
          <w:b w:val="1"/>
          <w:bCs w:val="1"/>
          <w:color w:val="auto"/>
        </w:rPr>
        <w:t xml:space="preserve"> to</w:t>
      </w:r>
      <w:r>
        <w:rPr>
          <w:rFonts w:ascii="Arial" w:cs="Arial" w:eastAsia="Arial" w:hAnsi="Arial"/>
          <w:sz w:val="18"/>
          <w:szCs w:val="18"/>
          <w:b w:val="1"/>
          <w:bCs w:val="1"/>
          <w:u w:val="single" w:color="auto"/>
          <w:color w:val="auto"/>
        </w:rPr>
        <w:t>_______</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51435</wp:posOffset>
            </wp:positionV>
            <wp:extent cx="224663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663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980" w:type="dxa"/>
        <w:tblCellMar>
          <w:top w:w="0" w:type="dxa"/>
          <w:left w:w="0" w:type="dxa"/>
          <w:bottom w:w="0" w:type="dxa"/>
          <w:right w:w="0" w:type="dxa"/>
        </w:tblCellMar>
      </w:tblPr>
      <w:tr>
        <w:trPr>
          <w:trHeight w:val="369"/>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ind w:left="1460"/>
              <w:spacing w:after="0"/>
              <w:rPr>
                <w:sz w:val="20"/>
                <w:szCs w:val="20"/>
                <w:color w:val="auto"/>
              </w:rPr>
            </w:pPr>
            <w:r>
              <w:rPr>
                <w:rFonts w:ascii="Arial" w:cs="Arial" w:eastAsia="Arial" w:hAnsi="Arial"/>
                <w:sz w:val="29"/>
                <w:szCs w:val="29"/>
                <w:b w:val="1"/>
                <w:bCs w:val="1"/>
                <w:color w:val="auto"/>
              </w:rPr>
              <w:t>Qorvo, Inc.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40"/>
        </w:trPr>
        <w:tc>
          <w:tcPr>
            <w:tcW w:w="580" w:type="dxa"/>
            <w:vAlign w:val="bottom"/>
          </w:tcPr>
          <w:p>
            <w:pPr>
              <w:spacing w:after="0"/>
              <w:rPr>
                <w:sz w:val="24"/>
                <w:szCs w:val="24"/>
                <w:color w:val="auto"/>
              </w:rPr>
            </w:pPr>
          </w:p>
        </w:tc>
        <w:tc>
          <w:tcPr>
            <w:tcW w:w="19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7360" w:type="dxa"/>
            <w:vAlign w:val="bottom"/>
            <w:gridSpan w:val="2"/>
          </w:tcPr>
          <w:p>
            <w:pPr>
              <w:jc w:val="center"/>
              <w:ind w:left="3945"/>
              <w:spacing w:after="0"/>
              <w:rPr>
                <w:sz w:val="20"/>
                <w:szCs w:val="20"/>
                <w:color w:val="auto"/>
              </w:rPr>
            </w:pPr>
            <w:r>
              <w:rPr>
                <w:rFonts w:ascii="Arial" w:cs="Arial" w:eastAsia="Arial" w:hAnsi="Arial"/>
                <w:sz w:val="18"/>
                <w:szCs w:val="18"/>
                <w:b w:val="1"/>
                <w:bCs w:val="1"/>
                <w:color w:val="auto"/>
                <w:w w:val="91"/>
              </w:rPr>
              <w:t>46-5288992</w:t>
            </w:r>
          </w:p>
        </w:tc>
      </w:tr>
      <w:tr>
        <w:trPr>
          <w:trHeight w:val="256"/>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402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945"/>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94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1"/>
              </w:rPr>
              <w:t>7628 Thorndike Road, Greensboro, North Carolina 27409-9421</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b w:val="1"/>
                <w:bCs w:val="1"/>
                <w:color w:val="auto"/>
                <w:w w:val="87"/>
              </w:rPr>
              <w:t>and</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b w:val="1"/>
                <w:bCs w:val="1"/>
                <w:color w:val="auto"/>
                <w:w w:val="91"/>
              </w:rPr>
              <w:t>2300 N.E. Brookwood Parkway, Hillsboro, Oregon 97124</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color w:val="auto"/>
                <w:w w:val="92"/>
              </w:rPr>
              <w:t>(Address of principal executive offices)</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94"/>
              </w:rPr>
              <w:t>(Zip Code)</w:t>
            </w:r>
          </w:p>
        </w:tc>
      </w:tr>
      <w:tr>
        <w:trPr>
          <w:trHeight w:val="50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jc w:val="center"/>
              <w:ind w:right="2850"/>
              <w:spacing w:after="0"/>
              <w:rPr>
                <w:sz w:val="20"/>
                <w:szCs w:val="20"/>
                <w:color w:val="auto"/>
              </w:rPr>
            </w:pPr>
            <w:r>
              <w:rPr>
                <w:rFonts w:ascii="Arial" w:cs="Arial" w:eastAsia="Arial" w:hAnsi="Arial"/>
                <w:sz w:val="18"/>
                <w:szCs w:val="18"/>
                <w:b w:val="1"/>
                <w:bCs w:val="1"/>
                <w:color w:val="auto"/>
                <w:w w:val="90"/>
              </w:rPr>
              <w:t>(336) 664-1233 and (503) 615-9000</w:t>
            </w:r>
          </w:p>
        </w:tc>
      </w:tr>
      <w:tr>
        <w:trPr>
          <w:trHeight w:val="270"/>
        </w:trPr>
        <w:tc>
          <w:tcPr>
            <w:tcW w:w="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54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60" w:type="dxa"/>
            <w:vAlign w:val="bottom"/>
            <w:gridSpan w:val="2"/>
          </w:tcPr>
          <w:p>
            <w:pPr>
              <w:jc w:val="center"/>
              <w:ind w:right="28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252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402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20"/>
          </w:cols>
          <w:pgMar w:left="24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86" w:lineRule="exact"/>
        <w:rPr>
          <w:sz w:val="20"/>
          <w:szCs w:val="20"/>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186" w:lineRule="exact"/>
        <w:rPr>
          <w:sz w:val="20"/>
          <w:szCs w:val="20"/>
          <w:color w:val="auto"/>
        </w:rPr>
      </w:pPr>
    </w:p>
    <w:p>
      <w:pPr>
        <w:ind w:right="220"/>
        <w:spacing w:after="0" w:line="198" w:lineRule="exact"/>
        <w:rPr>
          <w:sz w:val="20"/>
          <w:szCs w:val="20"/>
          <w:color w:val="auto"/>
        </w:rPr>
      </w:pPr>
      <w:r>
        <w:rPr>
          <w:rFonts w:ascii="Arial" w:cs="Arial" w:eastAsia="Arial" w:hAnsi="Arial"/>
          <w:sz w:val="15"/>
          <w:szCs w:val="15"/>
          <w:color w:val="auto"/>
        </w:rPr>
        <w:t>Indicate by check mark if disclosure of delinquent filers pursuant to Item 405 of Regulation S</w:t>
      </w:r>
      <w:r>
        <w:rPr>
          <w:rFonts w:ascii="MS PGothic" w:cs="MS PGothic" w:eastAsia="MS PGothic" w:hAnsi="MS PGothic"/>
          <w:sz w:val="15"/>
          <w:szCs w:val="15"/>
          <w:color w:val="auto"/>
        </w:rPr>
        <w:t>‑</w:t>
      </w:r>
      <w:r>
        <w:rPr>
          <w:rFonts w:ascii="Arial" w:cs="Arial" w:eastAsia="Arial" w:hAnsi="Arial"/>
          <w:sz w:val="15"/>
          <w:szCs w:val="15"/>
          <w:color w:val="auto"/>
        </w:rPr>
        <w:t>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5"/>
          <w:szCs w:val="15"/>
          <w:color w:val="auto"/>
        </w:rPr>
        <w:t>‑</w:t>
      </w:r>
      <w:r>
        <w:rPr>
          <w:rFonts w:ascii="Arial" w:cs="Arial" w:eastAsia="Arial" w:hAnsi="Arial"/>
          <w:sz w:val="15"/>
          <w:szCs w:val="15"/>
          <w:color w:val="auto"/>
        </w:rPr>
        <w:t>K or any amendment to this Form 10</w:t>
      </w:r>
      <w:r>
        <w:rPr>
          <w:rFonts w:ascii="MS PGothic" w:cs="MS PGothic" w:eastAsia="MS PGothic" w:hAnsi="MS PGothic"/>
          <w:sz w:val="15"/>
          <w:szCs w:val="15"/>
          <w:color w:val="auto"/>
        </w:rPr>
        <w:t>‑</w:t>
      </w:r>
      <w:r>
        <w:rPr>
          <w:rFonts w:ascii="Arial" w:cs="Arial" w:eastAsia="Arial" w:hAnsi="Arial"/>
          <w:sz w:val="15"/>
          <w:szCs w:val="15"/>
          <w:color w:val="auto"/>
        </w:rPr>
        <w:t>K. x</w:t>
      </w:r>
    </w:p>
    <w:p>
      <w:pPr>
        <w:spacing w:after="0" w:line="17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30" w:right="279" w:bottom="1440" w:gutter="0" w:footer="0" w:header="0"/>
        </w:sectPr>
      </w:pPr>
    </w:p>
    <w:p>
      <w:pPr>
        <w:spacing w:after="0" w:line="1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2">
            <w:col w:w="5720" w:space="720"/>
            <w:col w:w="4940"/>
          </w:cols>
          <w:pgMar w:left="240" w:top="130" w:right="279" w:bottom="1440" w:gutter="0" w:footer="0" w:header="0"/>
          <w:type w:val="continuous"/>
        </w:sectPr>
      </w:pPr>
    </w:p>
    <w:p>
      <w:pPr>
        <w:spacing w:after="0" w:line="55"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0"/>
          <w:szCs w:val="20"/>
          <w:color w:val="auto"/>
        </w:rPr>
      </w:pPr>
    </w:p>
    <w:p>
      <w:pPr>
        <w:sectPr>
          <w:pgSz w:w="11900" w:h="16838" w:orient="portrait"/>
          <w:cols w:equalWidth="0" w:num="3">
            <w:col w:w="1600" w:space="40"/>
            <w:col w:w="4080" w:space="720"/>
            <w:col w:w="4940"/>
          </w:cols>
          <w:pgMar w:left="240" w:top="130" w:right="279" w:bottom="1440" w:gutter="0" w:footer="0" w:header="0"/>
          <w:type w:val="continuous"/>
        </w:sectPr>
      </w:pP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27, 2014, the aggregate market value of the common stock of RF Micro Devices, Inc. ("RFMD") held by non-affiliates of RFMD was approximately</w:t>
      </w:r>
    </w:p>
    <w:p>
      <w:pPr>
        <w:spacing w:after="0" w:line="31"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$3,423,868,818 (which does not give effect to the business combination of RFMD and TriQuint Semiconductor, Inc. completed on January 1, 2015). For purposes of such calculation, shares of RFMD common stock held by persons who held more than 10% of the outstanding shares of RFMD common stock and shares held by directors and officers of RFMD and their immediate family members have been excluded because such persons may be deemed to be affiliates. This determination is not necessarily conclusive.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There were 149,433,822 shares of the registrant's common stock outstanding as of May 15, 2015.</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-116205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2015 annual meeting of stockholders, which is expected to be filed pursuant to Regulation 14A within 120 days after the end of the registrant’s fiscal year ended March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4"/>
          </w:tcPr>
          <w:p>
            <w:pPr>
              <w:jc w:val="center"/>
              <w:ind w:right="3180"/>
              <w:spacing w:after="0"/>
              <w:rPr>
                <w:sz w:val="20"/>
                <w:szCs w:val="20"/>
                <w:color w:val="auto"/>
              </w:rPr>
            </w:pPr>
            <w:r>
              <w:rPr>
                <w:rFonts w:ascii="Arial" w:cs="Arial" w:eastAsia="Arial" w:hAnsi="Arial"/>
                <w:sz w:val="18"/>
                <w:szCs w:val="18"/>
                <w:b w:val="1"/>
                <w:bCs w:val="1"/>
                <w:color w:val="auto"/>
                <w:w w:val="99"/>
              </w:rPr>
              <w:t>QORVO, INC.</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4"/>
          </w:tcPr>
          <w:p>
            <w:pPr>
              <w:jc w:val="center"/>
              <w:ind w:right="3180"/>
              <w:spacing w:after="0"/>
              <w:rPr>
                <w:sz w:val="20"/>
                <w:szCs w:val="20"/>
                <w:color w:val="auto"/>
              </w:rPr>
            </w:pPr>
            <w:r>
              <w:rPr>
                <w:rFonts w:ascii="Arial" w:cs="Arial" w:eastAsia="Arial" w:hAnsi="Arial"/>
                <w:sz w:val="18"/>
                <w:szCs w:val="18"/>
                <w:b w:val="1"/>
                <w:bCs w:val="1"/>
                <w:color w:val="auto"/>
                <w:w w:val="98"/>
              </w:rPr>
              <w:t>FORM 10-K</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gridSpan w:val="16"/>
          </w:tcPr>
          <w:p>
            <w:pPr>
              <w:jc w:val="center"/>
              <w:ind w:right="2040"/>
              <w:spacing w:after="0"/>
              <w:rPr>
                <w:sz w:val="20"/>
                <w:szCs w:val="20"/>
                <w:color w:val="auto"/>
              </w:rPr>
            </w:pPr>
            <w:r>
              <w:rPr>
                <w:rFonts w:ascii="Arial" w:cs="Arial" w:eastAsia="Arial" w:hAnsi="Arial"/>
                <w:sz w:val="18"/>
                <w:szCs w:val="18"/>
                <w:b w:val="1"/>
                <w:bCs w:val="1"/>
                <w:color w:val="auto"/>
                <w:w w:val="99"/>
              </w:rPr>
              <w:t>FOR THE FISCAL YEAR ENDED MARCH 28, 2015</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Page</w:t>
            </w:r>
          </w:p>
        </w:tc>
      </w:tr>
      <w:tr>
        <w:trPr>
          <w:trHeight w:val="52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gridSpan w:val="2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Forward-Looking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39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2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3"/>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Risk Factors.</w:t>
              </w:r>
            </w:hyperlink>
          </w:p>
        </w:tc>
        <w:tc>
          <w:tcPr>
            <w:tcW w:w="7800" w:type="dxa"/>
            <w:vAlign w:val="bottom"/>
            <w:gridSpan w:val="22"/>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100" w:type="dxa"/>
            <w:vAlign w:val="bottom"/>
            <w:gridSpan w:val="8"/>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Unresolved Staff Comments.</w:t>
              </w:r>
            </w:hyperlink>
          </w:p>
        </w:tc>
        <w:tc>
          <w:tcPr>
            <w:tcW w:w="6660" w:type="dxa"/>
            <w:vAlign w:val="bottom"/>
            <w:gridSpan w:val="17"/>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80" w:type="dxa"/>
            <w:vAlign w:val="bottom"/>
            <w:gridSpan w:val="2"/>
          </w:tcPr>
          <w:p>
            <w:pPr>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Properties.</w:t>
              </w:r>
            </w:hyperlink>
          </w:p>
        </w:tc>
        <w:tc>
          <w:tcPr>
            <w:tcW w:w="1320" w:type="dxa"/>
            <w:vAlign w:val="bottom"/>
            <w:gridSpan w:val="6"/>
          </w:tcPr>
          <w:p>
            <w:pPr>
              <w:spacing w:after="0"/>
              <w:rPr>
                <w:sz w:val="21"/>
                <w:szCs w:val="21"/>
                <w:color w:val="auto"/>
              </w:rPr>
            </w:pPr>
          </w:p>
        </w:tc>
        <w:tc>
          <w:tcPr>
            <w:tcW w:w="6660" w:type="dxa"/>
            <w:vAlign w:val="bottom"/>
            <w:gridSpan w:val="17"/>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10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10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gridSpan w:val="12"/>
          </w:tcPr>
          <w:p>
            <w:pPr>
              <w:jc w:val="center"/>
              <w:ind w:right="3960"/>
              <w:spacing w:after="0"/>
              <w:rPr>
                <w:rFonts w:ascii="Arial" w:cs="Arial" w:eastAsia="Arial" w:hAnsi="Arial"/>
                <w:sz w:val="18"/>
                <w:szCs w:val="18"/>
                <w:b w:val="1"/>
                <w:bCs w:val="1"/>
                <w:color w:val="0000FF"/>
                <w:w w:val="99"/>
              </w:rPr>
            </w:pPr>
            <w:hyperlink w:anchor="page29">
              <w:r>
                <w:rPr>
                  <w:rFonts w:ascii="Arial" w:cs="Arial" w:eastAsia="Arial" w:hAnsi="Arial"/>
                  <w:sz w:val="18"/>
                  <w:szCs w:val="18"/>
                  <w:b w:val="1"/>
                  <w:bCs w:val="1"/>
                  <w:color w:val="0000FF"/>
                  <w:w w:val="99"/>
                </w:rPr>
                <w:t>PART II</w:t>
              </w:r>
            </w:hyperlink>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5"/>
          </w:tcPr>
          <w:p>
            <w:pPr>
              <w:spacing w:after="0"/>
              <w:rPr>
                <w:rFonts w:ascii="Arial" w:cs="Arial" w:eastAsia="Arial" w:hAnsi="Arial"/>
                <w:sz w:val="18"/>
                <w:szCs w:val="18"/>
                <w:color w:val="0000FF"/>
                <w:w w:val="97"/>
              </w:rPr>
            </w:pPr>
            <w:hyperlink w:anchor="page29">
              <w:r>
                <w:rPr>
                  <w:rFonts w:ascii="Arial" w:cs="Arial" w:eastAsia="Arial" w:hAnsi="Arial"/>
                  <w:sz w:val="18"/>
                  <w:szCs w:val="18"/>
                  <w:color w:val="0000FF"/>
                  <w:w w:val="97"/>
                </w:rPr>
                <w:t>Market for Registrant's Common Equity, Related Stockholder Matters and Issuer Purchases of Equity Securities.</w:t>
              </w:r>
            </w:hyperlink>
          </w:p>
        </w:tc>
        <w:tc>
          <w:tcPr>
            <w:tcW w:w="10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60" w:type="dxa"/>
            <w:vAlign w:val="bottom"/>
            <w:gridSpan w:val="5"/>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Selected Financial Data.</w:t>
              </w:r>
            </w:hyperlink>
          </w:p>
        </w:tc>
        <w:tc>
          <w:tcPr>
            <w:tcW w:w="6340" w:type="dxa"/>
            <w:vAlign w:val="bottom"/>
            <w:gridSpan w:val="19"/>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760" w:type="dxa"/>
            <w:vAlign w:val="bottom"/>
            <w:gridSpan w:val="2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80" w:type="dxa"/>
            <w:vAlign w:val="bottom"/>
            <w:gridSpan w:val="2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Quantitative and Qualitative Disclosures About Market Risk.</w:t>
              </w:r>
            </w:hyperlink>
          </w:p>
        </w:tc>
        <w:tc>
          <w:tcPr>
            <w:tcW w:w="2280" w:type="dxa"/>
            <w:vAlign w:val="bottom"/>
            <w:gridSpan w:val="4"/>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80" w:type="dxa"/>
            <w:vAlign w:val="bottom"/>
            <w:gridSpan w:val="11"/>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Financial Statements and Supplementary Data.</w:t>
              </w:r>
            </w:hyperlink>
          </w:p>
        </w:tc>
        <w:tc>
          <w:tcPr>
            <w:tcW w:w="1020" w:type="dxa"/>
            <w:vAlign w:val="bottom"/>
            <w:gridSpan w:val="4"/>
          </w:tcPr>
          <w:p>
            <w:pPr>
              <w:spacing w:after="0"/>
              <w:rPr>
                <w:sz w:val="21"/>
                <w:szCs w:val="21"/>
                <w:color w:val="auto"/>
              </w:rPr>
            </w:pPr>
          </w:p>
        </w:tc>
        <w:tc>
          <w:tcPr>
            <w:tcW w:w="4360" w:type="dxa"/>
            <w:vAlign w:val="bottom"/>
            <w:gridSpan w:val="10"/>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60" w:type="dxa"/>
            <w:vAlign w:val="bottom"/>
            <w:gridSpan w:val="22"/>
          </w:tcPr>
          <w:p>
            <w:pPr>
              <w:spacing w:after="0"/>
              <w:rPr>
                <w:rFonts w:ascii="Arial" w:cs="Arial" w:eastAsia="Arial" w:hAnsi="Arial"/>
                <w:sz w:val="18"/>
                <w:szCs w:val="18"/>
                <w:color w:val="0000FF"/>
                <w:w w:val="90"/>
              </w:rPr>
            </w:pPr>
            <w:hyperlink w:anchor="page91">
              <w:r>
                <w:rPr>
                  <w:rFonts w:ascii="Arial" w:cs="Arial" w:eastAsia="Arial" w:hAnsi="Arial"/>
                  <w:sz w:val="18"/>
                  <w:szCs w:val="18"/>
                  <w:color w:val="0000FF"/>
                  <w:w w:val="90"/>
                </w:rPr>
                <w:t>Changes in and Disagreements With Accountants on Accounting and Financial Disclosure.</w:t>
              </w:r>
            </w:hyperlink>
          </w:p>
        </w:tc>
        <w:tc>
          <w:tcPr>
            <w:tcW w:w="2200" w:type="dxa"/>
            <w:vAlign w:val="bottom"/>
            <w:gridSpan w:val="3"/>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91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820" w:type="dxa"/>
            <w:vAlign w:val="bottom"/>
            <w:gridSpan w:val="6"/>
          </w:tcPr>
          <w:p>
            <w:pPr>
              <w:spacing w:after="0"/>
              <w:rPr>
                <w:rFonts w:ascii="Arial" w:cs="Arial" w:eastAsia="Arial" w:hAnsi="Arial"/>
                <w:sz w:val="18"/>
                <w:szCs w:val="18"/>
                <w:color w:val="0000FF"/>
                <w:w w:val="88"/>
              </w:rPr>
            </w:pPr>
            <w:hyperlink w:anchor="page92">
              <w:r>
                <w:rPr>
                  <w:rFonts w:ascii="Arial" w:cs="Arial" w:eastAsia="Arial" w:hAnsi="Arial"/>
                  <w:sz w:val="18"/>
                  <w:szCs w:val="18"/>
                  <w:color w:val="0000FF"/>
                  <w:w w:val="88"/>
                </w:rPr>
                <w:t>Controls and Procedures.</w:t>
              </w:r>
            </w:hyperlink>
          </w:p>
        </w:tc>
        <w:tc>
          <w:tcPr>
            <w:tcW w:w="4740" w:type="dxa"/>
            <w:vAlign w:val="bottom"/>
            <w:gridSpan w:val="16"/>
          </w:tcPr>
          <w:p>
            <w:pPr>
              <w:spacing w:after="0"/>
              <w:rPr>
                <w:sz w:val="21"/>
                <w:szCs w:val="21"/>
                <w:color w:val="auto"/>
              </w:rPr>
            </w:pPr>
          </w:p>
        </w:tc>
        <w:tc>
          <w:tcPr>
            <w:tcW w:w="2200" w:type="dxa"/>
            <w:vAlign w:val="bottom"/>
            <w:gridSpan w:val="3"/>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820" w:type="dxa"/>
            <w:vAlign w:val="bottom"/>
            <w:gridSpan w:val="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6940" w:type="dxa"/>
            <w:vAlign w:val="bottom"/>
            <w:gridSpan w:val="19"/>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r>
      <w:tr>
        <w:trPr>
          <w:trHeight w:val="46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III</w:t>
              </w:r>
            </w:hyperlink>
          </w:p>
        </w:tc>
        <w:tc>
          <w:tcPr>
            <w:tcW w:w="3900" w:type="dxa"/>
            <w:vAlign w:val="bottom"/>
            <w:gridSpan w:val="6"/>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60" w:type="dxa"/>
            <w:vAlign w:val="bottom"/>
            <w:gridSpan w:val="13"/>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Directors, Executive Officers and Corporate Governance.</w:t>
              </w:r>
            </w:hyperlink>
          </w:p>
        </w:tc>
        <w:tc>
          <w:tcPr>
            <w:tcW w:w="4600" w:type="dxa"/>
            <w:vAlign w:val="bottom"/>
            <w:gridSpan w:val="12"/>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60" w:type="dxa"/>
            <w:vAlign w:val="bottom"/>
            <w:gridSpan w:val="7"/>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Executive Compensation.</w:t>
              </w:r>
            </w:hyperlink>
          </w:p>
        </w:tc>
        <w:tc>
          <w:tcPr>
            <w:tcW w:w="2300" w:type="dxa"/>
            <w:vAlign w:val="bottom"/>
            <w:gridSpan w:val="6"/>
          </w:tcPr>
          <w:p>
            <w:pPr>
              <w:spacing w:after="0"/>
              <w:rPr>
                <w:sz w:val="21"/>
                <w:szCs w:val="21"/>
                <w:color w:val="auto"/>
              </w:rPr>
            </w:pPr>
          </w:p>
        </w:tc>
        <w:tc>
          <w:tcPr>
            <w:tcW w:w="4600" w:type="dxa"/>
            <w:vAlign w:val="bottom"/>
            <w:gridSpan w:val="12"/>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340" w:type="dxa"/>
            <w:vAlign w:val="bottom"/>
            <w:gridSpan w:val="23"/>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Security Ownership of Certain Beneficial Owners and Management and Related Stockholder Matters.</w:t>
              </w:r>
            </w:hyperlink>
          </w:p>
        </w:tc>
        <w:tc>
          <w:tcPr>
            <w:tcW w:w="1420" w:type="dxa"/>
            <w:vAlign w:val="bottom"/>
            <w:gridSpan w:val="2"/>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500" w:type="dxa"/>
            <w:vAlign w:val="bottom"/>
            <w:gridSpan w:val="20"/>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420" w:type="dxa"/>
            <w:vAlign w:val="bottom"/>
            <w:gridSpan w:val="2"/>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500" w:type="dxa"/>
            <w:vAlign w:val="bottom"/>
            <w:gridSpan w:val="20"/>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Principal Accounting Fees and Services.</w:t>
              </w:r>
            </w:hyperlink>
          </w:p>
        </w:tc>
        <w:tc>
          <w:tcPr>
            <w:tcW w:w="3260" w:type="dxa"/>
            <w:vAlign w:val="bottom"/>
            <w:gridSpan w:val="5"/>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3">
              <w:r>
                <w:rPr>
                  <w:rFonts w:ascii="Arial" w:cs="Arial" w:eastAsia="Arial" w:hAnsi="Arial"/>
                  <w:sz w:val="18"/>
                  <w:szCs w:val="18"/>
                  <w:color w:val="0000FF"/>
                </w:rPr>
                <w:t>93</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13"/>
          </w:tcPr>
          <w:p>
            <w:pPr>
              <w:jc w:val="center"/>
              <w:ind w:right="3920"/>
              <w:spacing w:after="0"/>
              <w:rPr>
                <w:rFonts w:ascii="Arial" w:cs="Arial" w:eastAsia="Arial" w:hAnsi="Arial"/>
                <w:sz w:val="18"/>
                <w:szCs w:val="18"/>
                <w:b w:val="1"/>
                <w:bCs w:val="1"/>
                <w:color w:val="0000FF"/>
              </w:rPr>
            </w:pPr>
            <w:hyperlink w:anchor="page94">
              <w:r>
                <w:rPr>
                  <w:rFonts w:ascii="Arial" w:cs="Arial" w:eastAsia="Arial" w:hAnsi="Arial"/>
                  <w:sz w:val="18"/>
                  <w:szCs w:val="18"/>
                  <w:b w:val="1"/>
                  <w:bCs w:val="1"/>
                  <w:color w:val="0000FF"/>
                </w:rPr>
                <w:t>PART IV</w:t>
              </w:r>
            </w:hyperlink>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Exhibits, Financial Statement Schedules.</w:t>
              </w:r>
            </w:hyperlink>
          </w:p>
        </w:tc>
        <w:tc>
          <w:tcPr>
            <w:tcW w:w="680" w:type="dxa"/>
            <w:vAlign w:val="bottom"/>
            <w:tcBorders>
              <w:top w:val="single" w:sz="8" w:color="0000FF"/>
            </w:tcBorders>
            <w:gridSpan w:val="5"/>
          </w:tcPr>
          <w:p>
            <w:pPr>
              <w:spacing w:after="0"/>
              <w:rPr>
                <w:sz w:val="24"/>
                <w:szCs w:val="24"/>
                <w:color w:val="auto"/>
              </w:rPr>
            </w:pPr>
          </w:p>
        </w:tc>
        <w:tc>
          <w:tcPr>
            <w:tcW w:w="3920" w:type="dxa"/>
            <w:vAlign w:val="bottom"/>
            <w:gridSpan w:val="7"/>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47"/>
        </w:trPr>
        <w:tc>
          <w:tcPr>
            <w:tcW w:w="800" w:type="dxa"/>
            <w:vAlign w:val="bottom"/>
          </w:tcPr>
          <w:p>
            <w:pPr>
              <w:spacing w:after="0"/>
              <w:rPr>
                <w:rFonts w:ascii="Arial" w:cs="Arial" w:eastAsia="Arial" w:hAnsi="Arial"/>
                <w:sz w:val="18"/>
                <w:szCs w:val="18"/>
                <w:color w:val="0000FF"/>
                <w:w w:val="85"/>
              </w:rPr>
            </w:pPr>
            <w:hyperlink w:anchor="page94">
              <w:r>
                <w:rPr>
                  <w:rFonts w:ascii="Arial" w:cs="Arial" w:eastAsia="Arial" w:hAnsi="Arial"/>
                  <w:sz w:val="18"/>
                  <w:szCs w:val="18"/>
                  <w:color w:val="0000FF"/>
                  <w:w w:val="85"/>
                </w:rPr>
                <w:t>Signatures.</w:t>
              </w:r>
            </w:hyperlink>
          </w:p>
        </w:tc>
        <w:tc>
          <w:tcPr>
            <w:tcW w:w="8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Exhibit Index.</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3"/>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96</w:t>
              </w:r>
            </w:hyperlink>
          </w:p>
        </w:tc>
      </w:tr>
      <w:tr>
        <w:trPr>
          <w:trHeight w:val="507"/>
        </w:trPr>
        <w:tc>
          <w:tcPr>
            <w:tcW w:w="8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13"/>
          </w:tcPr>
          <w:p>
            <w:pPr>
              <w:ind w:left="402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safe harbor provisions of the Private Securities Litigation Reform Act of 1995, including but not limited to certain disclosures contained in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the federal securities laws.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use a 52- or 53-week fiscal year ending on the Saturday closest to March 31 of each year. Fiscal years 2015, 2014 and 2013 were 52-week years. Our other fiscal quarters end on the Saturday closest to June 30, September 30 and December 31 of each year.</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(the "Business Combination") under a new holding company named Qorvo, Inc. (the “Company” or “Qorvo”). The transactions contemplated by the Merger Agreement were consummated on January 1, 2015. For financial reporting and accounting purposes, RFMD was the acquirer of TriQuint in the Business Combination. Unless otherwise noted, “we,” “our” or “us” in this report refers to RFMD and its subsidiaries, on a consolidated basis, prior to the closing of the Business Combination and to Qorvo and its subsidiaries, on a consolidated basis, after the closing of the Business Combination.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more information concerning the Business Combination, see Note 5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 leading provider of core technologies and radio frequency (“RF”) solutions for mobile, infrastructure and defense and aerospace applications. We have more than 6,700 global employees dedicated to delivering solutions for everything that connects the world. We have one of the industry's broadest portfolios of RF products and core technologies, and world-class ISO 9001-, ISO 14001- and ISO/TS 16949-certified manufacturing facilities. Our Richardson, Texas facility is a U.S. Department of Defense (“DoD”)-accredited ‘Trusted Source’ (Category 1A) for gallium arsenide (“GaAs"), gallium nitride (“GaN”) and bulk acoustic wave (“BAW”) technologies, products and services. We are a preferred supplier to the world’s leading companies that serve the mobile device, networks infrastructure and defense and aerospace markets. Our design and manufacturing expertise encompasses many semiconductor process technologies, which we source both internally and through external suppliers. We operate worldwide with our design, sales and manufacturing facilities located throughout Asia, Europe and North America. Our primary design and manufacturing facilities are located in North Carolina, Oregon, Texas and Florida, and our primary assembly and test facilities are located in China, Costa Rica and Texas.</w:t>
      </w:r>
    </w:p>
    <w:p>
      <w:pPr>
        <w:spacing w:after="0" w:line="18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RFMD was incorporated in North Carolina in 1991. TriQuint originally was incorporated in California in 1981 and later reincorporated in Delaware in 1997. Qorvo was incorporated in Delaware in 2013 under the name Rocky Holding, Inc., which name was changed in 2014 to Qorvo, Inc. in connection with the Business Combination. We maintain dual principal executive offices, which are located at 7628 Thorndike Road, Greensboro, North Carolina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27409 and at 2300 NE Brookwood Parkway, Hillsboro, Oregon 97124. Our telephone numbers at these locations are (336) 664-1233 and (503) 615-9000,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40" w:hanging="332"/>
        <w:spacing w:after="0" w:line="293"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Mobile Products (MP) </w:t>
      </w:r>
      <w:r>
        <w:rPr>
          <w:rFonts w:ascii="Arial" w:cs="Arial" w:eastAsia="Arial" w:hAnsi="Arial"/>
          <w:sz w:val="16"/>
          <w:szCs w:val="16"/>
          <w:color w:val="auto"/>
        </w:rPr>
        <w:t>- MP is a leading global supplier of RF solutions that perform various functions in the increasingly complex cellular radio front</w:t>
      </w:r>
      <w:r>
        <w:rPr>
          <w:rFonts w:ascii="Arial" w:cs="Arial" w:eastAsia="Arial" w:hAnsi="Arial"/>
          <w:sz w:val="16"/>
          <w:szCs w:val="16"/>
          <w:i w:val="1"/>
          <w:iCs w:val="1"/>
          <w:color w:val="auto"/>
        </w:rPr>
        <w:t xml:space="preserve"> </w:t>
      </w:r>
      <w:r>
        <w:rPr>
          <w:rFonts w:ascii="Arial" w:cs="Arial" w:eastAsia="Arial" w:hAnsi="Arial"/>
          <w:sz w:val="16"/>
          <w:szCs w:val="16"/>
          <w:color w:val="auto"/>
        </w:rPr>
        <w:t>end section of smartphones and other cellular devices. These RF solutions are required in fourth generation (“4G”) data-centric devices operating under Long-Term Evolution (“LTE”) 4G networks, as well as third generation (“3G”) and second generation (“2G”) mobile devices. Our solutions include complete RF front end modules that combine high-performance filters, power amplifiers (“PAs”) and switches, PA modules, transmit modules, antenna control solutions, antenna switch modules, diversity receive modules and envelope tracking ("ET") power management devices. MP supplies its broad portfolio of RF solutions into a variety of mobile devices, including smartphones, handsets, notebook computers, wearables and tablets.</w:t>
      </w:r>
    </w:p>
    <w:p>
      <w:pPr>
        <w:spacing w:after="0" w:line="164" w:lineRule="exact"/>
        <w:rPr>
          <w:rFonts w:ascii="Arial" w:cs="Arial" w:eastAsia="Arial" w:hAnsi="Arial"/>
          <w:sz w:val="16"/>
          <w:szCs w:val="16"/>
          <w:color w:val="auto"/>
        </w:rPr>
      </w:pPr>
    </w:p>
    <w:p>
      <w:pPr>
        <w:ind w:left="340" w:right="100" w:hanging="332"/>
        <w:spacing w:after="0" w:line="29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Infrastructure and Defense Products (IDP) </w:t>
      </w:r>
      <w:r>
        <w:rPr>
          <w:rFonts w:ascii="Arial" w:cs="Arial" w:eastAsia="Arial" w:hAnsi="Arial"/>
          <w:sz w:val="16"/>
          <w:szCs w:val="16"/>
          <w:color w:val="auto"/>
        </w:rPr>
        <w:t>- IDP is a leading global supplier of a broad array of RF solutions to wireless network infrastructure, defense</w:t>
      </w:r>
      <w:r>
        <w:rPr>
          <w:rFonts w:ascii="Arial" w:cs="Arial" w:eastAsia="Arial" w:hAnsi="Arial"/>
          <w:sz w:val="16"/>
          <w:szCs w:val="16"/>
          <w:i w:val="1"/>
          <w:iCs w:val="1"/>
          <w:color w:val="auto"/>
        </w:rPr>
        <w:t xml:space="preserve"> </w:t>
      </w:r>
      <w:r>
        <w:rPr>
          <w:rFonts w:ascii="Arial" w:cs="Arial" w:eastAsia="Arial" w:hAnsi="Arial"/>
          <w:sz w:val="16"/>
          <w:szCs w:val="16"/>
          <w:color w:val="auto"/>
        </w:rPr>
        <w:t>and aerospace markets and short-range connectivity applications for commercial, consumer, industrial and automotive markets. Infrastructure applications include 4G LTE and 3G base station deployments, WiFi infrastructure, microwave point-to-point ("PtP") radio and optical network links, and cable television ("CATV") wireline infrastructure. Defense and aerospace applications, which require extreme precision, reliability, durability and supply assurance, include a variety of advanced systems, such as active phased array radar, electronic warfare and various communications applications. Industrial and automotive applications include energy management, private mobile radio, satellite radio and test and measurement equipment. Our IDP products include high power GaAs and GaN PAs, low noise amplifiers, switches, fixed frequency and voltage-controlled oscillators (“VCOs”), filters, attenuators, modulators, driver and transimpedance amplifiers and various multichip and hybrid assemblies.</w:t>
      </w:r>
    </w:p>
    <w:p>
      <w:pPr>
        <w:spacing w:after="0" w:line="16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Business Combination, in the fourth quarter of fiscal 2015 we renamed our Cellular Products Group (CPG) operating segment as MP and our Multi-Market Products Group (MPG) operating segment as IDP. For financial information about the results of our operating segments for each of the last three fiscal years, see Note 16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Our business is diversified across multiple industries. The cellular handset industry is our largest market and is characterized by large unit volumes, significant product mix shift, high technical barriers to entry and relatively short product lifecycles.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cellular market is rapidly transitioning to smartphones and tablets based on LTE 4G interface standards to address the ever growing demand for always-on, anywhere connectivity. This demand has accelerated the deployment of advanced 4G networks in developed markets around the world. In addition, many carriers are constantly seeking to improve the speeds of their 4G networks with additional features such as carrier aggregation, while 3G service continues to expand in some global wireless markets outside of North America, Europe, China and Japan. While entry level 2G- and 3G-only handsets are still shipping in significant volumes, these market segments are decreasing as a percentage of total handsets shipped and represent a smaller opportunity in terms of RF dollar content per phone. Internet access, email, social media and the demand for mobile video are driving the demand for smartphones, tablets and other mobile data devices. These devices often contain two to five times more RF content than basic or feature phones. They support multiple air interface standards, require multiple frequency bands for broad geographic coverage, often operate simultaneously with WiFi and Bluetooth and must meet higher performance specifications. For example, 4G smartphones typically have two to three times as many bands as a 3G phone while the RF front end occupies substantially the same area in both phones. With smartphones growing faster than the overall handset market and containing more RF content, we expect our addressable market to grow faster than the overall handset market.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30"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rapid proliferation of the Internet of Things is also driving the growth in demand for RF content for “Machine Type Communications” or “MTC” as entirely new classes of devices, including systems for connected homes, energy management systems and a variety of health, fitness and medical devices, are enabled with wireless connectivity to transmit data obtained from embedded sensors, meters, controllers and other components. As part of this phenomena, machine-to-machine (“M2M”) devices are increasingly integrating WiFi and cellular content for a growing number of applications, including automotive, electric and water utilities, fleet management and point-of-sale.</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cellular infrastructure, network operators are rapidly building out their 4G LTE networks to handle more data traffic, which increases the requirements for more and faster wireless backhaul systems, including upgrading transport capacity through microwave PtP radio and optical network links. In addition, to increase network coverage and capacity and ease the strain from skyrocketing mobile data traffic on congested cellular networks, the cellular infrastructure market is turning to WiFi offload strategies, including public access WiFi hotspots, and utilizing new architectures with small cell base stations such as micro cells, pico cells, and femtocells. The RF content in premises-based devices and distribution networks is increasing due to higher capacity requirements achieved through enabling increased bandwidth capability, typically at higher frequencies of operation.</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CATV and optical network wireline transport markets, the rapid explosion of consumer and business data transmission, whether from high definition television (“HDTV”), Internet protocol television (“IPTV”), and voice over Internet protocol (“VoIP”), as well as the associated increases in Internet traffic in data centers, are driving market growth and placing increased emphasis on product performance, integration and power consumption. The adoption of DOCSIS 3.1 is accelerating and driving our CATV business. Additionally, the ever-increasing performance demands for data centers and metro networks continue to drive our optical business. Both markets are equally concerned about increasing capacity and speed, while decreasing costs and power consumption.</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Defense and aerospace markets rely on dependable microwave monolithic integrated circuits ("MMICs") and discrete transistors in die-level and packaged forms, as well as surface acoustic wave ("SAW") and bulk acoustic wave ("BAW") filters. The global defense and aerospace industry that we serve is focused on balancing cost, performance and power consumption and is serviced through both commercial off-the-shelf products and custom devices for the most stringent applications that support the next generation of communication, defense and national security capabilities.</w:t>
      </w:r>
    </w:p>
    <w:p>
      <w:pPr>
        <w:spacing w:after="0" w:line="17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connectivity markets, we are focused on delivering world-class products that address the higher performance requirements of 802.11ac and the proliferation of WiFi in mobile devices such as tablets and notebook computers and non-mobile equipment, including routers, access points, set-top boxes, automobiles and televisions. In these same markets, we enable interference-free reception and transmission through our premium filter products.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Across our customers’ diversified industries, their end-market products continue to increase in complexity and RF content, while wireless connectivity becomes a ubiquitous requirement of the Internet of Things. This is expanding our addressable market and increasing our opportunities to deliver more highly integrated, higher value solutions. At the same time, we are leveraging our core capabilities, including scale manufacturing, advanced packaging capabilities and deep systems-level integration expertise, to target a greater number of applications and market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Mission and Strategy</w:t>
      </w:r>
    </w:p>
    <w:p>
      <w:pPr>
        <w:spacing w:after="0" w:line="22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Our mission is to deliver best-in-class core technologies and RF solutions for mobile, infrastructure and defense and aerospace applications. Our key strategies to achieve this mission are to drive innovation to maintain technology and product leadership, partner with the best customers in our targeted industries and increase the pace and scope of our new product development to meet emerging trends in our customers’ diversified industries.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product leadership</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sharply focused on profitable growth and diversification through technology and product leadership. In the mobile products end market, we utilize our broad technology portfolio to simplify increasing RF complexity and enable a faster time to market for our customers. We create integrated RF front end solutions that include multiple bands, frequencies and communication standards into small, high-performance modules. Moreover, we are strategically focused on taking integration even further by combining high-performance filters, PAs and switches into complete RF front ends. We add significant systems capabilities to help our customers architect the world's leading smartphones. By integrating discrete components into space-saving modules, we deliver greater functionality and higher performance in smaller form factors, thus providing greater value for cellular and WiFi devices worldwide.</w:t>
      </w:r>
    </w:p>
    <w:p>
      <w:pPr>
        <w:spacing w:after="0" w:line="16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continue to push the limits of silicon on insulator (“SOI”), GaAs, SAW and BAW filter technologies to address the increasing technical challenges of today’s highly integrated front end modules. We are a worldwide leader in switching solutions and antenna control systems and invest in the most advanced SOI process technologies and design techniques to continue to advance the state of the art in this area. Our design engineers also use our proprietary wafer-level packaging ("WLP") and copper flip-chip interconnects (Cu-Flip</w:t>
      </w:r>
      <w:r>
        <w:rPr>
          <w:rFonts w:ascii="Arial" w:cs="Arial" w:eastAsia="Arial" w:hAnsi="Arial"/>
          <w:sz w:val="25"/>
          <w:szCs w:val="25"/>
          <w:color w:val="auto"/>
          <w:vertAlign w:val="superscript"/>
        </w:rPr>
        <w:t>TM</w:t>
      </w:r>
      <w:r>
        <w:rPr>
          <w:rFonts w:ascii="Arial" w:cs="Arial" w:eastAsia="Arial" w:hAnsi="Arial"/>
          <w:sz w:val="18"/>
          <w:szCs w:val="18"/>
          <w:color w:val="auto"/>
        </w:rPr>
        <w:t>) technologies, as well as our unique NoDrift™ and LowDrift™ advanced BAW and temperature-compensated SAW ("TC-SAW") filters, to address the proliferation of new bands worldwide. In addition, we have significant scale and capabilities in assembling and testing these highly integrated modules.</w:t>
      </w:r>
    </w:p>
    <w:p>
      <w:pPr>
        <w:spacing w:after="0" w:line="2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advanced technologies are sought by defense and aerospace and networks infrastructure customers. For example, we continue to focus internal and external research and development ("R&amp;D") resources on the development and maturity of high power GaN solutions. We supplement our internally funded R&amp;D efforts with U.S. government research funding to drive the leading edge of GaN research with participation in programs such as the Microscale Power Conversion and Near Junction Thermal Transport programs. Our work supporting the Defense Production Act Title III manufacturing contract and the Nitride Electronic Generation Technology ("NeXt") GaN programs are ongoing. We have the broadest portfolio of GaN fabrication processes in the industry to address market needs ranging in frequency from sub gigahertz through 100 gigahertz, THB-compliant products and advanced low-cost packaging concepts.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continue to invest in expanding our R&amp;D and hiring the best and brightest talent. These strategies enable us to serve an array of growing markets with a diversified product portfolio within the communications and defense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Partnering with our customers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committed to establishing close relationships with the leading customers in the industries we serve to drive our business and growth. We enjoy long-standing, deep institutional relationships with the leading smartphone and tablet manufacturers, network and consumer premises equipment manufacturers and reference design partners. These best-in-class customers and partners collectively have built and are expanding the world's 3G, 4G and other broadband communications networks. We emphasize developing intimate technical engagements with our key customers to align our R&amp;D efforts with their long-term product development roadmaps. In doing so, we focus on overall systems level requirements and solutions that address the increasing complexity of mobile devices and networks and the demands of carriers. These qualities have collectively made us a provider of choice for mobile products and advanced network infrastructure RF systems.</w:t>
      </w:r>
    </w:p>
    <w:p>
      <w:pPr>
        <w:spacing w:after="0" w:line="19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Similarly, our defense and aerospace customers include the leading tier one defense subcontractors to the U.S. government. We are also a Microelectronics Trusted Source accredited by the U.S. DoD for foundry, post-processing, packaging, assembly and test services and in 2014 were recognized by the DoD as the first GaN supplier to achieve Manufacturing Readiness Level (MRL) 9 based on passing criteria that assesses readiness for full scale production of GaN devices.</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deliver trusted applications support and dedicated service to our customers. We also offer a variety of packaging, assembly and test options to meet our customers' performance needs and our global sales and distribution teams offer local support to help ensure on-going customer satisfaction.</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product development</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Major market drivers like the ever growing demand for always-on, anywhere connectivity and the explosion of the Internet of Things have heightened the importance of increasing the rate and pace of new product development. We develop and launch numerous new products each year to expand our presence in existing and new markets and to diversify our revenue base. To drive our new product development, we have systemized our product development process to streamline product development cycle times and our business units focus their efforts on the development and release of new products that have been identified as having strategic importance.</w:t>
      </w:r>
    </w:p>
    <w:p>
      <w:pPr>
        <w:spacing w:after="0" w:line="19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partnering with our customers, we have established and maintain close working relationships with other industry leaders in our target markets, including university faculty, industry bodies, channel partners and other thought leaders. We also have existing connections, and seek to establish new, strategic investments and other relationships, with emerging companies that provide access to new technologies, products and markets. These relationships are critical to providing us with insights into future customer requirements and industry trends, which facilitate the timely development of new products to meet the changing needs of the marketplace.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management and board of directors regularly consider our strategic options in light of our company-specific conditions and industry conditions and trends, including whether acquisitions, dispositions or other potential transactions offer meaningful opportunities to enhance stockholder value. This includes opportunities to expand the breadth and depth of our product offerings and to diversify our overall business through the acquisition of product lines, business units and companies, both large and small.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 Products and Applications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offer a broad array of amplification, filtering and switching products for RF, microwave and millimeter-wave applications. We utilize specialized substrate materials and high-performance process technologies such as GaAs, GaN, SOI, pseudomorphic high electron mobility transistors ("pHEMT") and silicon germanium (“SiGe”). We believe many of our products offer key advantages relative to competing devices, including steeper selectivity, improved linearity, lower distortion, higher output power and power-added efficiency, as well as reduced size and weight, and more precise frequency control. Our broad range of standard and customer-specific ICs, components and modules, in addition to SAW, TC-SAW and BAW duplexers and filters, combined with our manufacturing and design capabilities, allow customers to select the specific product solution that best fulfills their technical and time-to-market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focus on three broader end markets: mobile products; infrastructure; and defense and aerospace.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Products</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demand in the mobile products end market has evolved and accelerated over the past several years as a result of increased demand for enhanced voice and data communication capabilities. Users want mobile devices to provide signal quality similar to wired communication systems, to be smaller and lighter, to accommodate longer talk and standby time and to contain complex functionality such as digital cameras, video recorders, music players, global positioning systems ("GPS"), Bluetooth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internet access. The most significant trend today in the mobile devices market is the growth of sophisticated smartphones and tablets. These devices contain application processing capability that allows the device to be a platform for a wide variety of software applications, including e-mail, calendar, location-based services, web-based services, music, video, travel aids and a multitude of games. Smartphones typically have power amplifiers, filtering, switches and antenna control solutions for voice and data communications. Additionally, they typically work across multiple standards and frequency bands enabling multi-region access and coverage. The expanding number of RF bands has increased the overall dollar content in an average smartphone by two to five times compared to a traditional voice-only phone. The increase in wireless communication traffic has resulted in congestion of the assigned frequency bands, creating capacity issues for network operators. In today’s cellular industry, operators routinely spend billions of dollars on new spectrum, which creates significant pressure to deploy handsets that can take advantage of the increased capacity. As a consequence, wireless communications standards are evolving and new technologies are being deployed to utilize the available spectrum more efficiently. This in turn tends to increase the complexity of filtering requirements in each device. Mobile devices of this complexity provide new technical challenges that our products are well suited to address, and we believe our mobile device strategy will meet the needs of this evolving market.</w:t>
      </w:r>
    </w:p>
    <w:p>
      <w:pPr>
        <w:spacing w:after="0" w:line="1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sell multiple components and solutions for mobile phones. Our high-performance RF Fusion™ line of integrated RF solutions solve the problems inherent in the most demanding RF applications, while our versatile RF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Flex™ solutions allow our customers to target specific functionality with a flexible architecture. Other product types include PAs and power amplifier modules (“PAMs”), RF filters, duplexers, switches, transmit modules, power amplifier + duplexer (“PAD”) modules, switch + PAD modules, RF power management ICs, diversity receive modules, antenna switch modules, antenna tuning and control solutions, multi-mode, multi-band power amplifiers, and other advanced products. Our products support multiple 2G, 3G, 4G and other communications standards across a wide frequency spectrum.</w:t>
      </w:r>
    </w:p>
    <w:p>
      <w:pPr>
        <w:spacing w:after="0" w:line="1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access to various process technologies, such as GaAs, SOI, SAW, TC-SAW and BAW provides our mobile device designers with flexibility to address our customers’ requirements for low noise, better signal processing in congested bands, greater power efficiency for longer battery life, and low loss switching.</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Historically, we have experienced seasonal fluctuations in our sales of mobile products. Our revenue is generally the strongest in the second and third fiscal quarters and weakest in the fourth fiscal quarter of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sell products that support the transfer of voice, video and data across wireless and wired infrastructure. The increasing demand for applications, services and the associated high-speed data for smartphones, tablets, computers and TVs is driving a dramatic evolution in the infrastructure that carries this data. This translates to requirements for systems and components with higher frequency, broader bandwidth, greater linearity, lower power consumption and smaller size. To reduce operator complexity and capital investment, systems need to cover multiple bands and modulation standards, without increasing size or cost.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the infrastructure end market target three main applications:</w:t>
      </w:r>
    </w:p>
    <w:p>
      <w:pPr>
        <w:spacing w:after="0" w:line="225" w:lineRule="exact"/>
        <w:rPr>
          <w:sz w:val="20"/>
          <w:szCs w:val="20"/>
          <w:color w:val="auto"/>
        </w:rPr>
      </w:pPr>
    </w:p>
    <w:p>
      <w:pPr>
        <w:ind w:left="340" w:right="3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Transport, which includes wireless and wired broadband networks infrastructure for CATV, fiber-to-the-home, optical transport networks, Very-Small Aperture Terminals ("VSAT") and PtP radio;</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 Station, which comprises 2G, 3G, 4G LTE and multi-carrier, multi-standard base stations and small cells;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Connectivity, such as WiFi, automotive radar, telematics, advanced metering infrastructure ("AMI") and other industrial applications.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offer a broad range of products for these applications, including low-noise, variable-gain, driver and power amplifiers, single and dual band wireless local area network ("WLAN") modules, digital and analog attenuators, frequency converters, VCOs, switches, SAW filters, BAW filters, and multi-chip modules that integrate multiple functions.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products are differentiated by high performance, reflecting our unique GaAs, GaN, SAW and BAW processes combined with innovative design and packaging. For example, in base station applications, our GaAs HBT amplifiers offer differentiated low noise performance while our GaN amplifiers offer high linearity and efficiency with high output power and low power consumption. In optical transport networks infrastructure, our modulator drivers provide a wide output voltage swing, low jitter and high fidelity electrical “eye” performance for 40 and 100 gigabits per second networks.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utilize our process and assembly technologies to achieve superior performance and integrate RF functionality at both the integrated circuit and multi-chip module levels. The range of process technologies we can draw upon spans from 100 megahertz to 100 gigahertz, low noise to high power. As an example, our high-voltage HBT and GaN processes provide two options for addressing very high power, high efficiency and high linearity applications. Our multi-chip modules utilize our high-volume assembly capabilities used in the manufacturing of our products for the mobile devices end market to achieve low cost and high quality for infrastructure applications.</w:t>
      </w:r>
    </w:p>
    <w:p>
      <w:pPr>
        <w:spacing w:after="0" w:line="18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sell amplifier and RF filtering products for a number of applications that enable wireless connectivity, including WiFi used in consumer premises equipment and enterprise wireless access points. We also sell amplifier and RF filtering products for automotive applications, including automotive infotainment, satellite radios, radar and telematics and various industrial applications, including smart energy/AMI systems. The most basic AMI systems provide a way for a utility company to measure customer usage remotely without touching or physically reading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meter. More sophisticated AMI systems have data links to major household appliances to enable measurement and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largest customers in the defense and aerospace end markets are military contractors serving the U.S. government. These prime contractors and subcontractors use our die-level integrated circuits and discrete components, MMICs and multi-chip modules for radar, electronic warfare and communications systems. These programs include major shipboard, airborne and battlefield radar systems as well as communications and electronic warfare applications. Our products are used in large-scale programs with long lead-times. Once a component has been designed into an end-use product for a military application, the same component is generally used during the entire production life of the end-use product.</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products utilized in radars are bringing new capabilities to detect and neutralize threats against aircrews, shipboard and infantry defense forces around the globe. We are actively engaged with existing customers while seeking greater emerging application opportunities. For example, our legacy of phased array radar experience with domestic airborne fighter platforms has led to ongoing work in the multi-national next generation platforms. In addition, we expect our products to be used in retrofits that upgrade the radars and other systems for the existing domestic fleet of fighter aircraft.</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capability to track multiple targets simultaneously is one of the key enhancements found in the new generation of fighters. We are teamed with contractors in new programs to bring this type of capability to the warfighter and we also are engaged in retrofits of other tactical fighter jet programs. Our microwave PAs provide the capability to transmit the power that is at the heart of phased array radar operation. These radars consist of large element arrays composed of many individual integrated circuits. In addition to supplying components for airborne and ground-based phased array radars, we are engaged with prime defense contractors in the continuing development and production of radars for shipboard applications. In the military communications field, we supply filters, amplifiers and other components for hand-held and satellite communications systems. In addition, we use our packaging and integrated assembly expertise to speed designs, facilitate multi-chip package evolution and deliver cost-effective solutions for all types of customer needs.</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DoD accreditation as a Microelectronics Trusted Source is an assurance that our processes and procedures meet stringent quality and security controls, which can permit increased levels of high security/classified application specific integrated circuit foundry services. Through accreditation, we join a small group of GaAs suppliers certified by the DoD as able to fabricate and deliver devices for applications using standards approved and monitored by the Defense Microelectronics Activity. We have also been certified by the DoD as having Manufacturing Readiness Level 9 for our GaN fabrication capabilities, which certifies us as having the necessary systems and demonstrated capabilities in place for rate production.</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also directly engaged with the U.S. government, primarily through contracts with the Defense Advanced Research Project Agency, the Air Force Research Laboratory, and the Office of Naval Research to develop the next generation of RF components in GaN and GaAs. GaN high electron mobility transistor devices provide the higher power density and efficiency required for future high-power phased array radar, electronic warfare, missile seekers and communications systems. Through these programs and other ongoing efforts, we continue to enhance the reliability and manufacturability of our GaN processes.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Revenue from the sales of our products in the defense and aerospace end market can fluctuate significantly from year to year due to the timing of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global supply chain that routinely ships millions of units per day. Our products have varying degrees of complexity and rely on semiconductors and other components that are manufactured in-house or outsourced. The majority of our products are multi-chip modules utilizing multiple semiconductor process technologies. We are a leading supplier of RF solutions and a leading manufacturer of compound semiconductors, including GaAs HBT, GaAs pHEMT, GaN, SAW, TC-SAW and BAW for RF applications.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operate wafer fabrication facilities for the production of GaAs, GaN, SAW, TC-SAW and BAW wafers in Greensboro, North Carolina; Hillsboro, Oregon; Richardson, Texas; Apopka, Florida; and Bend, Oregon. We also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use multiple silicon-based process technologies, including SOI and CMOS, in our products. We outsource all silicon manufacturing to leading silicon foundries.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our own copper bumping and WLP technologies and also use external suppliers for these technologies. In packages that employ bumped die, the electrical connections are created directly on the surface of the die, which eliminates wirebonds so that the die may be attached directly to a substrate or leadframe. This type of technology provides a higher density interconnection capability than wirebonded die and enables smaller and thinner form factors. We use WLP technologies for our SAW, TC-SAW and BAW products.</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Once the semiconductor manufacturing is complete, the wafers are singulated, or separated, into individual units called die. For the majority of our products, the next step in our manufacturing process is assembly. During assembly, the die and other necessary components are placed on a high density interconnect substrate to provide connectivity between the die and the components. This populated substrate is formed into a microelectronic package. Once assembled, the products are tested for RF performance and prepared for shipment through a tape and reel process. To assemble and test our products, we primarily use internal assembly facilities in the United States, China, Costa Rica and Germany, and we also utilize several external suppliers.</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fabrication of ICs and filter products in these facilities is highly complex and sensitive to particles and other contaminants, and requires production in a highly controlled, clean environment. Minute impurities, difficulties in the fabrication process or defects in the masks used to transfer circuits onto the wafers can cause a substantial percentage of the wafers to be rejected or numerous die on each wafer to be nonfunctional. The more brittle nature of GaAs wafers can also lead to more wafer breakages than experienced with silicon wafers. To maximize wafer yield and quality, we test our products in various stages in the fabrication process, maintain continuous reliability monitoring and conduct numerous quality control inspections throughout the entire production flow. Our manufacturing yields vary significantly among our products, depending upon a given product’s complexity and our manufacturing experience.</w:t>
      </w:r>
    </w:p>
    <w:p>
      <w:pPr>
        <w:spacing w:after="0" w:line="165"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incur a high level of fixed costs to operate our own manufacturing facilities. These fixed costs consist primarily of facility occupancy costs, repair, maintenance and depreciation costs related to manufacturing equipment and fixed labor costs related to manufacturing and process engineering.</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quality management system is registered to ISO 9001 standards and our environmental management system is registered to ISO 14001:2004. This means that a third-party independent auditor has determined that these systems meet the requirements developed by the International Organization of Standardization, a non-governmental network of the national standards institutes of over 150 countries. The ISO 9001 standards provide models for quality assurance in design/development, production, installation and servicing. The ISO 14001:2004 standards provide a structure within which a company can develop or strengthen its quality system for managing its environmental affairs. We believe that all of our key vendors and suppliers are compliant with applicable ISO 9001 and/or TS-16949 standards, which means that their operations have in each case been determined by auditors to comply with certain internationally developed quality control standards. We qualify and monitor assembly contractors based on cost and quality.</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manufacturing facilities in Greensboro, North Carolina; Hillsboro, Oregon; Richardson, Texas; and Apopka, Florida are certified to ISO/TS 16949 standards, which is the highest international quality standard for the automotive industry and incorporates ISO technical specifications that are more stringent than ISO 9001 quality management systems requirements. The ISO/TS 16949 standard combines North American and European automotive requirements and serves the global automotive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purchase numerous raw materials, passive components and substrates for our products and manufacturing processes. We use independent foundries to supply all of our silicon-based integrated circuits. High demand for SOI wafers to support manufacture of our switch products has led to supply constraints in the past, which we are addressing by qualifying new silicon foundries and securing supply commitments from existing silicon suppliers.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our acoustic filter manufacturing operations, we use several raw materials, including wafers made from quartz, silicon, lithium niobate (“LiNbO</w:t>
      </w:r>
      <w:r>
        <w:rPr>
          <w:rFonts w:ascii="Arial" w:cs="Arial" w:eastAsia="Arial" w:hAnsi="Arial"/>
          <w:sz w:val="12"/>
          <w:szCs w:val="12"/>
          <w:color w:val="auto"/>
        </w:rPr>
        <w:t>3</w:t>
      </w:r>
      <w:r>
        <w:rPr>
          <w:rFonts w:ascii="Arial" w:cs="Arial" w:eastAsia="Arial" w:hAnsi="Arial"/>
          <w:sz w:val="18"/>
          <w:szCs w:val="18"/>
          <w:color w:val="auto"/>
        </w:rPr>
        <w:t>”) or lithium tantalite (“LiTaO</w:t>
      </w:r>
      <w:r>
        <w:rPr>
          <w:rFonts w:ascii="Arial" w:cs="Arial" w:eastAsia="Arial" w:hAnsi="Arial"/>
          <w:sz w:val="12"/>
          <w:szCs w:val="12"/>
          <w:color w:val="auto"/>
        </w:rPr>
        <w:t>3</w:t>
      </w:r>
      <w:r>
        <w:rPr>
          <w:rFonts w:ascii="Arial" w:cs="Arial" w:eastAsia="Arial" w:hAnsi="Arial"/>
          <w:sz w:val="18"/>
          <w:szCs w:val="18"/>
          <w:color w:val="auto"/>
        </w:rPr>
        <w:t>”), as well as ceramic or metal packages. Relatively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few companies produce these raw materials. Our most significant suppliers of ceramic surface mount packages are based in Japan. For our SAW operations, we also utilize multiple qualified wafer and mask set vendors.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manufacturing strategy includes a balance of internal and external sites (primarily for assembly operations), which helps reduce costs, provides flexibility of supply, and minimizes the risk of supply disruption. We routinely qualify multiple sources of supply and manufacturing sites to reduce the risk of supply interruptions or price increases and closely monitor suppliers’ key performance indicators. Our suppliers' and our manufacturing sites are geographically diversified (with our largest volume sources distributed throughout Southern and Eastern Asia), and we believe we have adequate sources for the supply of raw materials, passive components and substrates for our products and manufacturing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OEMs and ODMs. We are also engaged with leading baseband reference design partners located primarily in the U.S. and China.</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Some of our MP customers use multiple contract manufacturers for product assembly and test. Therefore, revenue for one customer may not necessarily represent the entire business of a single mobile products manufacturer. We sold our products to our largest end customer through multiple contract manufacturers, which in the aggregate, accounted for approximately 32%, 20% and 9% of total revenue in fiscal years 2015, 2014 and 2013, respectively. Samsung Electronics, Co., Ltd., accounted for approximately 14%, 25% and 22% of our total revenue in fiscal years 2015, 2014 and 2013, respectively. The majority of the revenue from these customers was from our mobile product sales. No other customer accounted for more than 10% of our total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Some of our sales to overseas customers are made under export licenses that must be obtained from the U.S. Department of Commerce.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about revenue, operating profit or loss and total assets is presented in Part II, Item 8, “Financial Statements and Supplementary Data”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sell our products worldwide directly to customers as well as through a network of domestic and foreign sales representative firms and distributors. We select our domestic and foreign sales representatives based on technical skills and sales experience, as well as the presence of complementary product lines and the customer base served. We provide ongoing training to our internal, as well as our external, sales representatives and distributors to keep them informed of, and educated about, our products. We maintain an internal sales and marketing organization that is responsible for key account management, application engineering support to customers, developing sales and advertising literature, and preparing technical presentations for industry conferences. We have sales and customer support centers located throughout the world.</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maintain an extensive web-site containing product information and publish a comprehensive product selection guide annually. Our global team of application engineers interacts with customers during all stages of design and production, provides customers with product application notes and engineering data, maintains regular contact with customer engineers, and assists in the resolution of technical problems. We believe that maintaining a close relationship with customers and platform providers and providing them with strong technical support enhances their level of satisfaction and enables us to anticipate their future product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research and development activities enable the technologies and products necessary to maintain our leadership in the end markets we serve. Our R&amp;D activities are focused on improving the performance, size and cost of our products in our customers’ systems. We focus on both continuous improvement in our processes for design and manufacture as well as innovation in fundamental research areas such as materials, simulation and modeling, circuit design, device packaging and test. We maintain an extensive patent portfolio and also protect much of our intellectual property in the form of trade secrets.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developed several generations of GaAs, GaN, BAW and SAW process technologies that we manufacture internally. We invest in these technologies to improve device performance, reduce die size and reduce manufacturing costs. We also develop and qualify technologies made available to us from key suppliers, including SOI for switches and RF signal conditioning solutions and SiGe and indium phosphide ("InP") for amplifiers. We combine these external technologies with our own proprietary design methods, intellectual property and other expertise to improve performance, increase integration and reduce the size and cost of our products.</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RF systems-level expertise and our innovations in new product architectures, new circuit techniques, filtering and other new proprietary technologies are enabling us to solve the increasingly complex RF challenges related to linearity, power consumption and other critical performance metrics. This is evident in our line of high performance RF Fusion™ and versatile RF Flex™ integrated modules.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Qorvo is a pioneer in envelope tracking technology for wireless applications, and we are incorporating our ET technology into power management components and our most advanced PAs. Our ET technology enables us to track the envelope of high-speed modulation signals and adjust the PA in real time to maximize efficiency and maintain required levels of linearity. This technology is increasingly necessary to maximize mobile device data rates and meet user expectations for battery life and maximum case temperatures. Because our customers often use a variety of baseband and power management chipsets, we also develop PAs that demonstrate industry-leading performance with third-party power management components.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continue to develop and release new GaN-based products and invest in new GaN process technologies to exploit GaN's performance advantages across existing and new product categories. The inherent wide band gap, high electron mobility, and high breakdown voltage characteristics of GaN semiconductor devices offer significant performance advantages versus competing technologies. We are also developing other advanced GaN process technologies that target applications where we anticipate GaN devices will provide a disruptive performance advantage and deliver meaningful energy savings in end-market products.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area of packaging technologies, we are developing and qualifying packaging technologies that allow us to improve performance and reduce the area and height of our products. We are continuing to invest in packaging technologies such as WLP and copper pillar bump that eliminate wire bonds, reduce the size and component height, and improve performance, while reducing the cost of packaging our products. In addition, we are investing in large scale module assembly and test capabilities to bring these technologies to market in very high volumes.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fiscal years 2015, 2014 and 2013, we incurred approximately $257.5 million, $197.3 million and $178.8 million, respectively, in research and development expenses. We expect to continue to spend substantial funds on R&amp;D in support of our growth and product diversification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operate in a very competitive industry characterized by rapid advances in technology and new product introductions. Our customers' product life cycles are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within the customer's cost limitations. The selection process for our products to be included in our customers' new products is highly competitive and our customers provide no guarantees that our products will be included in the next generation of products introduced.</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compete primarily with the following companies: Anadigics Inc.; Analog Devices, Inc.; Avago, Inc.; M/A-COM Technology Solutions, Inc.; Murata Manufacturing Co., Ltd.; Qualcomm Technologies, Inc.; Raytheon Company; Skyworks Solutions, Inc.; Sumitomo Electric Device Innovations; and TDK-EPCOS Corporation.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intellectual property and substantial technological capabilities. In some cases, our competitors are also our customers or suppliers. Additionally, many of our competitors may have significantly greater financial, technical, manufacturing and marketing resources than we do, which may allow them to implement new technologies and develop new products more quickly than we can.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believe our intellectual property, including patents, copyrights, trademarks and trade secrets, is important to our business and we actively seek opportunities to leverage our intellectual property portfolio to promote our business interests. Moreover, we respect the intellectual property rights of others and have implemented policies and procedures to mitigate the risk of infringing or misappropriating third party intellectual property.</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intellectual property rights to the same extent as U.S. laws. We have approximately 1,000 patents that expire from 2015 to 2035. We also continue to acquire patents through acquisitions or direct prosecution efforts and engage in licensing transactions to secure the right to practice third parties’ patents. In view of the relatively short market life of many of our products, we believe the duration and scope of our most relevant patents are sufficient to support our business.</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periodically register federal trademarks, service marks and trade names that distinguish our product brand names in the market. We also monitor these marks for their proper and intended use.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rely on non-disclosure and confidentiality agreements to protect our interest in confidential and proprietary information, including business strategies, unpatented inventions, designs and process technology. Such information is closely monitored and made available only to those employees whose responsibilities require access to the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sales are the result of standard purchase orders or specific agreements with customers. We maintain Qorvo-owned finished goods inventory at certain customers’ “hub” locations and do not recognize revenue until our customers draw down the inventory at these hubs. Our customers’ projections of consumption of hub inventory and quantities on purchase orders, as well as the shipment schedules, are frequently revised within agreed-upon lead times to reflect changes in the customers’ needs. Because industry practice allows customers to cancel orders with limited advance notice prior to shipment, and with little or no penalty, we believe that backlog as of any particular date may not be a reliable indicator of our future revenue levels.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March 28, 2015, we had approximately 6,700 employees. We believe that our future prospects will depend, in part, on our ability to continue to attract and retain skilled employees. Competition for skilled personnel is intense, and the number of persons with relevant experience, particularly in RF engineering, product design and technical marketing, is limited. None of our U.S. employees are represented by a labor union. A number of our European-based employees (less than 5% of our global workforce as of March 28, 2015) are subject to collective bargaining-type arrangements. We have never experienced any work stoppage and we believe that our current employee relations are good.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Financial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area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w w:val="96"/>
              </w:rPr>
              <w:t>Fiscal Year</w:t>
            </w: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38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315,775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342,805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296,442</w:t>
            </w:r>
          </w:p>
        </w:tc>
      </w:tr>
      <w:tr>
        <w:trPr>
          <w:trHeight w:val="27"/>
        </w:trPr>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1,395,191</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805,426</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667,705</w:t>
            </w:r>
          </w:p>
        </w:tc>
      </w:tr>
      <w:tr>
        <w:trPr>
          <w:trHeight w:val="297"/>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2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697,305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120,885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114,635</w:t>
            </w:r>
          </w:p>
        </w:tc>
      </w:tr>
      <w:tr>
        <w:trPr>
          <w:trHeight w:val="27"/>
        </w:trPr>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186,066</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75,111</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76,891</w:t>
            </w:r>
          </w:p>
        </w:tc>
      </w:tr>
      <w:tr>
        <w:trPr>
          <w:trHeight w:val="459"/>
        </w:trPr>
        <w:tc>
          <w:tcPr>
            <w:tcW w:w="38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Sales for geographic disclosure purposes are based on the “sold to” address of the customer. The “sold to” address is not always an accurate representation of the location of final consumption of our products. Of our total revenue for fiscal 2015, approximately 49% ($841.0 million) was attributable to customers in China and approximately 19% ($332.5 million) was attributable to customers in Taiwan.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Long-lived tangible assets primarily include property and equipment. At March 28, 2015, approximately $126.5 million (or 14%) of our total property and equipment was located in China.</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financial information regarding our operations by geographic area, see Note 16 of the Notes to the Consolidated Financial Statements set forth in Part II, Item 8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certain risks associated with our foreign operations, see 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By virtue of operating our wafer fabrication facilities, we are subject to a variety of extensive and changing federal, state and local governmental laws, regulations and ordinances related to the use, storage, discharge and disposal of toxic, volatile or otherwise hazardous chemicals used in the manufacturing process. We provide our own manufacturing waste water treatment and disposal for most of our manufacturing facilities and have contracted for the disposal of hazardous waste. State agencies require us to report usage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7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are an ISO 14001:2004 certified manufacturer with a comprehensive Environmental Management System (“EMS”) in place in order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actively monitor the hazardous materials that are used in the manufacture, assembly and testing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anticipate any material capital expenditures for environmental control facilities for the remainder of fiscal 2016 or fiscal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Securities and Exchange Commission (“SEC”). The public may also request a copy of our forms filed with the SEC, without charge upon written request, directed 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 You may also read and copy any documents that we file with the SEC at the SEC’s Public Reference Room located at 100 F Street, N.E., Room 1580, Washington, D.C. 20549. Please call the SEC at 1-800-SEC-0330 for information on the operation of the Public Reference Room.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but not limited to,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business and economic conditions, including downturns in the semiconductor industry and the overall economy;</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confidence caused by changes in market conditions, including changes in the credit markets, expectations for inflation, unemployment levels, and energy or other commodity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market requirements and evolving industry standards accurately and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customer demand accurately to limit obsolete inventory, which would reduce our profit margins;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third-party foundries and third-party assembly, test and tape and reel suppliers and other third-party subcontractor suppliers to handle our products in a timely and cost-effective manner that meets our customers'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that they hold and to forecast their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respond to downward pressure on the average selling prices of our products caused by our customers or our competitors;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acquire additional capacity in response to customer demand.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industry's technology changes rapidly.</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primarily design and manufacture high-performance semiconductor components for wireless applications. Our markets are characterized by the frequent introduction of new products in response to evolving product and process technologies and consumer demand for greater functionality, lower costs, smaller products and better performance. As a result, we have experienced and will continue to experience some product design obsolescence. We expect our customers' demands for reductions in cost and improvements in product performance to continue, which means that we must continue to improve our product designs and develop new products that may use new technologies. It is possible that competing technologies will emerge that permit the manufacture of products that are equivalent or acceptable in terms of performance, but lower in cost, to the products we make under existing processes. If we cannot design products using competitive technologies or develop competitive products, our operating results will be adversely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at risk if we do not introduce new products and decrease costs.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average selling prices of our products have historically decreased over the products' lives and we expect this to continue. To offset these average selling price decreases, we must achieve yield improvements and other cost reductions for existing products, and introduce new products that can be manufactured at lower costs. In higher-tier, performance-driven markets, we offer solutions that deliver the advantages of superior performance. In lower-tier, cost-driven markets, we offer solutions that deliver market acceptable performance at lower cost. If we do not continue to identify markets that require superior performance and offer products that command a premium price for such performance, or if we do not achieve market acceptable performance in our products for cost-driven markets, our operating results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few large customers for a substantial portion of our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substantial portion of our MP revenue comes from large purchases by a small number of customers. Our future operating results depend on both the success of our largest customers and on our success in diversifying our products and customer base.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typically manufacture custom products on an exclusive basis for individual customers for a negotiated period of time. Increasingly, the largest cellular handset OEMs are releasing fewer new phone models on an annual basis, which heightens the importance of achieving design wins for these larger opportunities. While the rewards for a design win are financially greater, competition for these projects is intense. The concentration of our revenue with a relatively small number of customers makes us particularly dependent on factors affecting those customers. For example, if demand for their products decreases, they may stop purchasing our products and our operating results would suffer. Most of our customers can cease incorporating our products into their products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of a loss of revenue if contracts with the U.S. government or defense and aerospace contractors are canceled or delayed.</w:t>
      </w:r>
    </w:p>
    <w:p>
      <w:pPr>
        <w:spacing w:after="0" w:line="23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receive a portion of our revenue from the U.S. government and from prime contractors on U.S. government sponsored programs, principally for defense and aerospace applications. These programs, such as the Defense Advanced Research Project Agency ("DARPA") contract to develop high power, wide band amplifiers in GaN, the NeXt program to explore advanced and promising new GaN technology, and the F-35 Lightning JSF aircraft programs, generally have long lead times. These programs are also subject to delays or cancellation. Further, spending on defense and aerospace contracts can vary significantly depending on funding from the U.S. government. We believe our government and defense and aerospace contracts in the recent past have been negatively affected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implement innovative technologies.</w:t>
      </w:r>
    </w:p>
    <w:p>
      <w:pPr>
        <w:spacing w:after="0" w:line="22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We compete with several companies primarily engaged in the business of designing, manufacturing and selling RF solutions, as well as suppliers of discrete integrated circuits. In addition to our direct competitors, some of our largest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and a corresponding reduction in our ability to recover development, engineering and manufacturing costs.</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Many of our existing and potential competitors have entrenched market positions, historical affiliations with OEMs, considerable internal manufacturing capacity, established IP rights and substantial technological capabilities. Many of our existing and potential competitors may have greater financial, technical, manufacturing or marketing resources than we do. We cannot be sure that we will be able to compete successfully with our competitors.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substantially dependent on development of new products and achieving design wins.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future success will depend on our ability to develop new product solutions for existing and new markets. We must introduce new products in a timely and cost-effective manner and secure production orders from our customers. The development of new products is a highly complex process, and we have experienced delays in completing the development and introduction of new products at times in the past. Our successful product development depends on a number of factors, including the following:</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prediction of market requirements and evolving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qualified product designers;</w:t>
      </w:r>
    </w:p>
    <w:p>
      <w:pPr>
        <w:spacing w:after="0" w:line="225" w:lineRule="exact"/>
        <w:rPr>
          <w:rFonts w:ascii="Arial" w:cs="Arial" w:eastAsia="Arial" w:hAnsi="Arial"/>
          <w:sz w:val="18"/>
          <w:szCs w:val="18"/>
          <w:color w:val="auto"/>
        </w:rPr>
      </w:pPr>
    </w:p>
    <w:p>
      <w:pPr>
        <w:ind w:left="980" w:right="40" w:hanging="648"/>
        <w:spacing w:after="0" w:line="27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timely completion and execution of product designs and ramp of new products according to our customers’ needs with acceptable manufacturing yields;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our customers' products by the market and the variability of the life cycle of such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design, develop, manufacture and integrate new products.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may not be able to design and introduce new products in a timely or cost-efficient manner, and our new products may fail to meet the requirements of the market or our customers. In that case, we likely will not reach the expected level of production orders, which could adversely affect our operating results. Even when a design win is achieved, our success is not assured. Design wins may require significant expenditures by us and typically precede volume revenue by six to nine months or more. Many customers seek a second source for all major components in their devices, which can significantly impact the revenue obtained from a design win. The actual value of a design win to us will ultimately depend on the commercial success of our customer’s product.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about the scope of operations of our business could affect our results of operations and financial condition.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Changes in the business environment could lead to changes in our decisions about the scope of operations of our business, and these changes could result in restructuring and asset impairment charges. Factors that could cause actual results to differ materially from our expectations with regard to changing the scope of our operations include:</w:t>
      </w:r>
    </w:p>
    <w:p>
      <w:pPr>
        <w:spacing w:after="0" w:line="181" w:lineRule="exact"/>
        <w:rPr>
          <w:sz w:val="20"/>
          <w:szCs w:val="20"/>
          <w:color w:val="auto"/>
        </w:rPr>
      </w:pPr>
    </w:p>
    <w:p>
      <w:pPr>
        <w:ind w:left="660" w:right="5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and execution of plans and programs that may be subject to local labor law requirements, including consultation with appropriate work councils;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assumptions related to severance and post-retirement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divestitures;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 initiatives and changes in product roadmap, development and manufacturing;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employment levels and turnover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product demand and the business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fair value of certain long-lived assets and goodwill.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wafer fabrication facilities in Florida, North Carolina, Oregon and Texas. We currently use several international and domestic assembly suppliers, as well as internal assembly facilities in the U.S., China, Costa Rica, the Philippines and Germany to assemble and test our products. We currently have our own test and tape and reel facilities located in the U.S., China, Costa Rica and the Philippines and we also utilize contract suppliers and partners in Asia to test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will affect the future success of our facilities, including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revenue in amounts that cover the significant fixed costs of operating the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25" w:lineRule="exact"/>
        <w:rPr>
          <w:rFonts w:ascii="Arial" w:cs="Arial" w:eastAsia="Arial" w:hAnsi="Arial"/>
          <w:sz w:val="18"/>
          <w:szCs w:val="18"/>
          <w:color w:val="auto"/>
        </w:rPr>
      </w:pPr>
    </w:p>
    <w:p>
      <w:pPr>
        <w:ind w:left="980" w:right="30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raw materials and the impact of the volatility of commodity pricing on raw materials, including GaAs substrates, gold and high purity source materials such as gallium, aluminum, arsenic, indium, silicon, phosphorous and beryllium;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25" w:lineRule="exact"/>
        <w:rPr>
          <w:rFonts w:ascii="Arial" w:cs="Arial" w:eastAsia="Arial" w:hAnsi="Arial"/>
          <w:sz w:val="18"/>
          <w:szCs w:val="18"/>
          <w:color w:val="auto"/>
        </w:rPr>
      </w:pPr>
    </w:p>
    <w:p>
      <w:pPr>
        <w:ind w:left="980" w:right="32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political and economic risks associated with the increased reliance on our manufacturing operations in China, Costa Rica, the Philippines and Germany;</w:t>
      </w:r>
    </w:p>
    <w:p>
      <w:pPr>
        <w:spacing w:after="0" w:line="17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potential violations by our </w:t>
      </w:r>
      <w:r>
        <w:rPr>
          <w:rFonts w:ascii="Arial" w:cs="Arial" w:eastAsia="Arial" w:hAnsi="Arial"/>
          <w:sz w:val="21"/>
          <w:szCs w:val="21"/>
          <w:color w:val="auto"/>
        </w:rPr>
        <w:t>i</w:t>
      </w:r>
      <w:r>
        <w:rPr>
          <w:rFonts w:ascii="Arial" w:cs="Arial" w:eastAsia="Arial" w:hAnsi="Arial"/>
          <w:sz w:val="18"/>
          <w:szCs w:val="18"/>
          <w:color w:val="auto"/>
        </w:rPr>
        <w:t>nternational employees or third-party agents of international or U.S. laws relevant to foreign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our internal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compliance with applicable environmental and other laws and regulations, including social responsibilities and conflict minerals requirements;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 and</w:t>
      </w:r>
    </w:p>
    <w:p>
      <w:pPr>
        <w:spacing w:after="0" w:line="225"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natural disasters anywhere in the world, which could directly or indirectly affect our facilities, subcontractor operations, and supply chain.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worldwide operations could be disrupted by earthquakes, telecommunications failures, power or water shortages, tsunamis, floods, hurricanes, typhoons, fires, extreme weather conditions, medical epidemics or pandemics and other natural or man-made disasters, catastrophic events or climate change. We carry commercial property damage and business interruption insurance against various risks, with limits deemed adequate for reimbursement for damage to our fixed assets and resulting disruption of operations. However, the occurrence of any of these business disruptions could harm our business and result in significant losses, a decline in revenue and increase our costs and expenses. Our operations could be harmed if manufacturing, logistics or other operations in these locations are disrupted for any reason, including natural disasters, high heat events or water shortages, information technology system failures, military actions or economic, business, labor, environmental, public health, regulatory or political issues. Any disruptions from these or other natural disasters could require substantial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expenditures and recovery time in order to fully resume operations and have a material adverse effect on our operations and financial results to the extent that losses exceed insurance recoveries.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products are very complex. Each product has a unique design and is fabricated using semiconductor process technologies that are highly complex. In many cases, the products are assembled in customized packages. Our products, many of which consist of multiple components in a single package,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Due to the complexity of our products, we periodically experience difficulties in achieving acceptable yields on certain new and existing products.</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customers also test our components once they have been assembled into their products. The number of usable products that result from our production process can fluctuate as a result of many factors, including the following: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minute impurities in materials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packaging.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of product defects and errata (deviations from published specifications) could include the following:</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writing off the value of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disposing of products that cannot be fixed;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recalling products that have been shipped;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product replacements or modifications;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and indirect costs incurred by our customers in recalling their products due to defects in our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costs could be significant and may increase expenses and lower gross margin. Our reputation with customers could be damaged as a result of product defects and errata, and product demand could be reduced. These factors could harm our business and financial results.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30" w:right="2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Industry overcapacity and current macroeconomic conditions could cause us to underutilize our manufacturing facilities and have a material adverse effect on our financial performance.</w:t>
      </w:r>
    </w:p>
    <w:p>
      <w:pPr>
        <w:spacing w:after="0" w:line="17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It is difficult to predict future growth or decline in the demand for our products, which makes it very difficult to estimate requirements for production capacity. In prior fiscal years, we have added significant capacity through acquisitions as well as by expanding capacity at our existing manufacturing facilities.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past, capacity additions by us and our competitors sometimes exceeded demand requirements, leading to oversupply situations. Fluctuations in the growth rate of industry capacity relative to the growth rate in demand for our products contribute to cyclicality in the semiconductor market. This may in the future put pressure on our average selling prices and have a material adverse effect on us.</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many of our manufacturing costs are fixed, these costs cannot be reduced in proportion to the reduced revenues experienced during periods in which we underutilize our manufacturing facilities as a result of reduced demand. If the demand for our products is not consistent with our expectations, underutilization of our manufacturing facilities may have a material adverse effect on our gross margin and other operating results.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increased inventory risks and costs because we build our products based on forecasts provided by customers before receiving purchase orders for the products.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ensure availability of our products for some of our largest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write-off inventory, which would have a negative impact on our gross margin and other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quality and fabrication costs.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currently use several external manufacturing suppliers to supplement our internal manufacturing capabilities. We believe all of our key vendors and suppliers are compliant with applicable ISO 9001 and/or TS-16949 standards. However, if these vendors' processes vary in reliability or quality, they could negatively affect our products and, therefore, our results of operations.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increasingly sell certain of our products through platform providers and our inability to manage these evolving relationships may have an adverse effect on our business, financial condition and results of operations.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focused on developing and maintaining relationships with platform providers to help us sell our products. These platform providers are typically large companies that provide system reference designs for OEMs and ODMs that include the platform provider's baseband and other complementary products. Certain platform providers own or control IP that provides them with a dominant market position for their baseband products for certain air interface standards, which provides them with significant influence and control over sales of RF products for these standards. Platform providers have historically looked to us and our competitors to provide RF products to their customers as part of the overall system design and we must compete to have our RF products included in the platform provider's system reference design. Our relationships with certain platform providers are evolving, particularly as they work to develop more fully integrated solutions in silicon that include their own RF technologies and components.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platform provider relationships, we generally do not control the end customer relationship. As a result, we are dependent upon the platform provider as the prime contractor to appropriately manage the end customer. The failure of the platform provider to do so can lead to situations where projects are delayed, modified or terminated for reasons outside our control.</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Platform providers may be in a different business from ours or we may be their customer or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w:t>
      </w:r>
    </w:p>
    <w:p>
      <w:pPr>
        <w:spacing w:after="0" w:line="17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Our relationships with platform providers are complex and evolving and inability to manage these relationships could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operate globally with sales offices and research and development activities as well as manufacturing, assembly and testing facilities in multiple countries. As a result, we are subject to regulatory, geopolitical and other risks associated with doing business outside the U.S. Global operations involve inherent risks that include currency controls and fluctuations as well as tariff, import and other related restrictions and regulations.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to customers located outside the U.S. accounted for approximately 82% of our revenue in fiscal 2015. We expect that revenue from international sales will continue to be a significant part of our total revenue. Because the majority of our foreign sales are denominated in U.S. dollars, our products become less price-competitive in countries with currencies that are low or are declining in value against the U.S. dollar. Also, we cannot be sure that our international customers will continue to accept orders denominated in U.S. dollars.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majority of our assembly, test and tape and reel vendors are located in Asia. We do the majority of our business with our foreign assemblers in U.S. dollars. Our manufacturing costs could increase in countries with currencies that are increasing in value against the U.S. dollar. Also, we cannot be sure that our international manufacturing suppliers will continue to accept orders denominated in U.S. dollars.</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if terrorist activity, armed conflict, civil or military unrest or political instability occur in the U.S. or other locations, such events may disrupt manufacturing, assembly, logistics, security and communications, and could also result in reduced demand for our products. Pandemics and similar major health concerns could also adversely affect our business and our customer order patterns. We could also be affected if labor issues disrupt our transportation or manufacturing arrangements or those of our customers or suppliers. On a worldwide basis, we regularly review our key infrastructure, systems, services and suppliers, both internally and externally, to seek to identify significant vulnerabilities as well as areas of potential business impact if a disruptive event were to occur. Once identified, we assess the risks, and as we consider it to be appropriate, we initiate actions intended to minimize the risks and their potential impact. However, there can be no assurance that we have identified all significant risks or that we can mitigate all identified risks with reasonable effort.</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slowdown in the Chinese economy could limit the growth in demand for devices containing our products, which would have a material adverse effect on our business, results of operations and prospects.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an increase in demand in China for handsets and other devices that include our products will be an important factor in our future growth. Although the Chinese economy has grown significantly in recent years, there can be no assurance that such growth will continue. Any weakness in the Chinese economy could result in a decrease in demand for devices containing our products, which could materially and adversely affect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materially and adversely affect our business and results of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 significant portion of our assembly and testing capacity in China. In recent years, the Chinese economy has experienced periods of rapid expansion and wide fluctuations in the rate of inflation. In response to these factors, the Chinese government has, from time to time, adopted measures to regulate growth and contain inflation,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30"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including measures designed to restrict credit or to control prices. Such actions in the future could increase the cost of doing business in China or decrease the demand for our products in China, which could have a material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order to compete, we must attract, retain, and motivate key employees, and our failure to do so could harm our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compete, we must: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leaders for key business units and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presence in international locations and adapt to cultural norms of foreign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 and motivate our employee base.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future operating results and success depend on keeping key technical personnel and management and expanding our sales and marketing, research and development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integrated circuits and filter design, and technical marketing and support, is limited. We cannot be sure that we will be able to attract and retain other skilled personnel in the future.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Our operating results may be adversely impacted by the inability of certain of our customers to access their traditional sources of credit to finance the purchase of products from us, which could lead them to reduce their level of purchases or seek credit or other accommodations from us.</w:t>
      </w:r>
    </w:p>
    <w:p>
      <w:pPr>
        <w:spacing w:after="0" w:line="10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inability of our customers to access capital efficiently could cause disruptions in their businesses, thereby negatively impacting ours. For example, if our customers do not have sufficient liquidity, they could reduce or limit new purchases, which could result in lower demand for our products or place us at risk for any trade credit we have extended to them if they are unable to repay us. This risk may increase if a general economic downturn materially impacts our customers and they are not able to manage their business risks adequately or do not properly disclose their financial condition to us.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Difficulties in integrating the business of RFMD and TriQuint and a failure to realize the anticipated benefits of the Business Combination, including the expected amount and timing of cost savings and operating synergies, could have a material adverse effect on our business and operating results and our stock price.</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success of the Business Combination will depend, in part, on our ability to fully realize the anticipated benefits from the transaction, including increased revenue, synergies, cost savings and operational efficiencies. If we are unable to fully achieve these objectives within a reasonable amount of time, the anticipated benefits may not be fully realized or at all, or may take longer to fully realize than expected and the value of our common stock may decline. The combination of RFMD’s business and TriQuint’s business has been and will continue to be a complex, costly and time-consuming process. The ongoing integration of the two companies has resulted, and may continue to result, in challenges, including:</w:t>
      </w:r>
    </w:p>
    <w:p>
      <w:pPr>
        <w:spacing w:after="0" w:line="173" w:lineRule="exact"/>
        <w:rPr>
          <w:sz w:val="20"/>
          <w:szCs w:val="20"/>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performance shortfalls as a result of management's attention to the completion of the integration;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a larger combined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continuing integration of two unique corporate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 on profitable terms;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30"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Business Combination.</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Many of these factors are outside of our control and any one of them could result in increased costs, decreases in the amount of expected revenue and diversion of management’s time and energy. Delays or issues encountered in the ongoing integration process could have a material adverse effect on our revenue, expenses, operating results and financial condition and no assurance can be given that we will fully realize these anticipated benefits.</w:t>
      </w:r>
    </w:p>
    <w:p>
      <w:pPr>
        <w:spacing w:after="0" w:line="14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Further, we have incurred and will continue to incur significant costs in connection with the integration process. The substantial majority of these costs are non-recurring expenses related to the facilities and systems consolidation costs. We may also incur other unanticipated integration costs as well as costs to maintain employee morale and to retain key employees and additional costs related to formulating and revising integration plans.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are unable to fully achieve the expected growth in earnings, or if our operational cost savings estimates are not fully realized, or if the integration costs are greater than expected, the market price of our common stock may decline. The market price also may decline if we do not fully achieve the perceived benefits of the Business Combination as rapidly or to the extent anticipated by financial analysts or if our financial results are not consistent with their expectations.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engage in future acquisitions that dilute our stockholders’ ownership and cause us to incur debt and assume contingent liabilities.</w:t>
      </w:r>
    </w:p>
    <w:p>
      <w:pPr>
        <w:spacing w:after="0" w:line="2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part of our business strategy, we expect to continue to review potential acquisitions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also entail numerous other risks that could adversely affect our business, results of operations and financial condition, including:</w:t>
      </w:r>
    </w:p>
    <w:p>
      <w:pPr>
        <w:spacing w:after="0" w:line="1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existing business relationships with suppliers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price of our common stock, which is traded on the NASDAQ Global Select Market, may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181" w:lineRule="exact"/>
        <w:rPr>
          <w:sz w:val="20"/>
          <w:szCs w:val="20"/>
          <w:color w:val="auto"/>
        </w:rPr>
      </w:pPr>
    </w:p>
    <w:p>
      <w:pPr>
        <w:ind w:left="5620" w:right="3360" w:hanging="5288"/>
        <w:spacing w:after="0" w:line="559"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and economic conditions, including market conditions in the semiconductor industry; 24</w:t>
      </w:r>
    </w:p>
    <w:p>
      <w:pPr>
        <w:sectPr>
          <w:pgSz w:w="11900" w:h="16838" w:orient="portrait"/>
          <w:cols w:equalWidth="0" w:num="1">
            <w:col w:w="11280"/>
          </w:cols>
          <w:pgMar w:left="240" w:top="130" w:right="37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us or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cannot assure you that the price of our common stock will not fluctuate or decline significantly in the future. In addition, the stock market in general can experience considerable price and volume fluctuations that may be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intellectual property portfolio and may face claims of infringement.</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laws of some countries in which our products are developed, manufactured or sold may not protect our products or intellectual property rights to the same extent as U.S. laws. This increases the possibility of piracy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have a material, adverse effect on our business. These adverse effects may include injunctions, exclusion orders and royalty payments to third parties.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Security breaches and other similar disruptions could compromise our information and expose us to liability, which would cause our business and reputation to suffer.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We try to protect this information by entering into confidentiality agreements with our employees, consultants, strategic partners and other parties. We also restrict access to our proprietary information.</w:t>
      </w:r>
    </w:p>
    <w:p>
      <w:pPr>
        <w:spacing w:after="0" w:line="18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Despite these efforts, internal or external parties may attempt to copy, disclose, obtain or use our proprietary information without our authorization. Additionally, current, departing or former employees or third parties could attempt to improperly use or access our computer systems and networks to misappropriate our proprietary information or otherwise interrupt our business. Like others, we are also potentially subject to significant system or network disruptions, including new system implementations, computer viruses, facility access issues and energy blackouts.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we have experienced attacks on our computer systems by unauthorized outside parties; however, we do not believe that such attacks have resulted in any material damage to our customers or us. Because the techniques used by computer hackers and others to access or sabotage networks constantly evolve and generally are not recognized until launched against a target, we may be unable to anticipate, counter or ameliorate all of these techniques. As a result, our technologies and processes may be misappropriated and the impact of any future incident cannot be predicted. Any loss of such information could harm our competitive position, result in a loss of customer confidence in the adequacy of our threat mitigation and detection processes and procedures, or cause us to incur significant costs to remedy the damages caused by the incident. We routinely implement improvements to our network security safeguards and we are devoting increasing resources to the security of our information technology systems. We cannot, however, assure that such system improvements will be sufficient to prevent or limit the damage from any future cyber attack or network disruptions.</w:t>
      </w:r>
    </w:p>
    <w:p>
      <w:pPr>
        <w:spacing w:after="0" w:line="16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We also rely on third-party service providers to protect our proprietary information. Third party service providers include foundries, assembly and test contractors, distributors, credit card processors and other vendors that have access to our sensitive data. These providers should have safeguards in place to protect our data. Failure of these parties to properly safeguard our data could also result in security breaches and loss of proprietary information.</w:t>
      </w:r>
    </w:p>
    <w:p>
      <w:pPr>
        <w:ind w:right="20"/>
        <w:spacing w:after="0" w:line="254" w:lineRule="auto"/>
        <w:rPr>
          <w:sz w:val="20"/>
          <w:szCs w:val="20"/>
          <w:color w:val="auto"/>
        </w:rPr>
      </w:pPr>
      <w:r>
        <w:rPr>
          <w:rFonts w:ascii="Arial" w:cs="Arial" w:eastAsia="Arial" w:hAnsi="Arial"/>
          <w:sz w:val="18"/>
          <w:szCs w:val="18"/>
          <w:color w:val="auto"/>
        </w:rPr>
        <w:t>The costs related to cyber or other security threats or computer systems disruptions typically would not be fully insured or indemnified by others. Occurrence of any of the events described above could result in loss of competitive advantages derived from our research and development efforts or our IP. Moreover, these events may result in the early obsolescence of our products; adversely affect our internal operations and reputation; or degrade our financial results and stock price.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lawsuits and claims relating to our products.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Third parties could assert product liability or other claims against us, our customers or our licensors with respect to existing and future products. Any litigation could result in significant expense and liability to us and divert the efforts of our technical and management personnel, whether or not the litigation is determined in our favor or covered by insurance.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wireless devices pose safety risks, we may be subject to new regulations, and demand for our products and those of our customers may decrease.</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Concerns over the effects of radio frequency emissions continue. Interest groups have requested that the Federal Communications Commission investigate claims that wireless communications technologies pose health concerns and cause interference with airbags, hearing aids and medical devices. Concerns have also been expressed over, and state laws have been enacted to mitigate, the possibility of safety risks due to a lack of attention associated with the use of wireless devices while driving. Legislation that may be adopted in response to these concerns or adverse news or findings about safety risks could reduce demand for our products and those of our customers in the U.S. as well as in foreign countries.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environmental regulations.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a variety of federal, state and local requirements governing the protection of the environment. These environmental regulations include those related to the use, storage, handling, discharge and disposal of toxic or otherwise hazardous materials used in our manufacturing processes. A change in environmental laws or our failure to comply with environmental laws could subject us to substantial liability or force us to significantly change our manufacturing operations. In addition, under some of these laws and regulations, we could be held financially responsible for remedial measures if our properties are contaminated, even if we did not cause the contamination. Growing concerns about climate change, including the impact of global warming, may result in new regulations with respect to greenhouse gas emissions. Our compliance with this legislation may result in additional costs.</w:t>
      </w:r>
    </w:p>
    <w:p>
      <w:pPr>
        <w:spacing w:after="0" w:line="16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Two former production facilities at Scotts Valley and Palo Alto, California from TriQuint's acquisition of WJ Communications, Inc. have significant environmental liabilities for which we have entered into and funded fixed price remediation agreements and obtained cost-overrun and unknown pollution insurance coverage. These arrangements may not be sufficient to cover all liabilities related to these two sites.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30" w:right="2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could affect the sourcing and availability of minerals that are used in the manufacture of our products. We have incurred costs and expect to incur additional costs associated with complying with these requirements. Additionally, we may face reputational challenges with our customers and other stakeholders if we are unable to sufficiently verify the origins of all minerals used in our products through the due diligence procedures that we implement. We may also face challenges with government regulators and our customers and suppliers if we are unable to sufficiently verify that the metals used in our products are conflict free.</w:t>
      </w:r>
    </w:p>
    <w:p>
      <w:pPr>
        <w:spacing w:after="0" w:line="18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in their best interests.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Certain provisions in our amended and restated certificate of incorporation and amended and restated bylaws may have the effect of delaying, deterring, preventing or rendering more difficult a change in control of Qorvo that our stockholders might consider in their best interests. These provisions include:</w:t>
      </w:r>
    </w:p>
    <w:p>
      <w:pPr>
        <w:spacing w:after="0" w:line="124" w:lineRule="exact"/>
        <w:rPr>
          <w:sz w:val="20"/>
          <w:szCs w:val="20"/>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vary as a result of the methods, estimates and judgments we use in applying our accounting policies.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Estimates</w:t>
      </w:r>
      <w:r>
        <w:rPr>
          <w:rFonts w:ascii="Arial" w:cs="Arial" w:eastAsia="Arial" w:hAnsi="Arial"/>
          <w:sz w:val="18"/>
          <w:szCs w:val="18"/>
          <w:color w:val="auto"/>
        </w:rPr>
        <w:t>" in Part II, Item 7 of this report). Such methods, estimates and judgments are, by their nature, subject to substantial risks,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and assumptions, and factors may arise over time that lead us to change our methods, estimates and judgments that could significantly affect our results of operations.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30" w:right="29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borrow funds under our credit facility or secure future financing.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7, 2015, we entered into a five-year senior credit facility with Bank of America, N.A., as Administrative Agent and a lender, and a syndicate of other lenders (the “Credit Agreement”). The Credit Agreement includes a $300 million revolving credit facility, which includes a $25 million sublimit for the issuance of standby letters of credit and a $10 million sublimit for swing line loans. We may request, at any time and from time to time, that the revolving credit facility be increased by an amount not to exceed $150 million. The revolving credit facility is available to finance working capital, capital expenditures and for other lawful corporate purposes. This facility contains various conditions, covenants and representations with which we must be in compliance in order to borrow funds. We cannot assure that we will be in compliance with these conditions, covenants and representations in the future when we may need to borrow funds under this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impact our results of operations.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subject to taxation in the U.S., China, Singapore and numerous other foreign taxing jurisdictions. Our effective tax rate is subject to fluctuations as it is impacted by a number of factors, including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profit determined to be earned and taxed in each jurisdiction;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valuation of our either gross deferred tax assets or gross deferred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future decision to repatriate non-U.S. earnings for which we have not previously provided for U.S.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tax rates could reduce net income for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favorable tax status of our subsidiaries in Costa Rica and Singapore would have an adverse impact on our operating results.</w:t>
      </w:r>
    </w:p>
    <w:p>
      <w:pPr>
        <w:spacing w:after="0" w:line="23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subsidiaries in Costa Rica and Singapore have been granted tax holidays that effectively minimize our tax expense and that are expected to be effective through March 2024 and December 2021,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Changes in the status of either tax holiday could have a negative effect on our net income in future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maintain dual corporate headquarters located in Greensboro, North Carolina and Hillsboro, Oregon. In Greensboro, we have two office buildings (leased), a six-inch wafer production facility (owned), a research and development and prototyping facility (leased) and other leased office space. In Greensboro, we also have a previously idled production facility (leased) that has been reconfigured to perform certain manufacturing operations. In Hillsboro, we have a single facility (owned) that includes office space and a wafer fabrication facility. We also have wafer fabrication facilities in Richardson, Texas (owned), Apopka, Florida (owned) and Bend, Oregon (leased).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assembly and test facilities located in Beijing, China (the building is owned and we hold a land-use right for the land), where we assemble and test modules. We are in the process of bringing on-line a new assembly and test facility in Dezhou, China (the equipment is owned and we lease the land and building), which we expect will occur by the end of calendar year 2015. We operate a filter assembly and test facility in San Jose, Costa Rica (owned). In Broomfield, Colorado (leased), Brooksville, Florida (owned), and the Philippines (leased), we have assembly and test sites for highly customized modules and products, including modules and products that support our aerospace and defense business. We also have a facility capable of supporting a variety of packaging and test technologies in Nuremberg, Germany (leased).</w:t>
      </w:r>
    </w:p>
    <w:p>
      <w:pPr>
        <w:spacing w:after="0" w:line="17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lease space for our design centers in Chandler, Arizona; Newberry Park, San Jose, Torrance, and Westlake Village, California; Broomfield, Colorado; Hiawatha, Iowa; Billerica and Chelmsford, Massachusetts; Charlotte and High Point, North Carolina; Tokyo, Japan; Shanghai, China; Munich, Germany; Nørresundby, Denmark; and Colomiers, France. In addition, we lease space for sales and customer support centers in Beijing, Shanghai, and Shenzhen, China; Reading, England; Bangalore, India; Tokyo, Japan; Seoul, South Korea; Singapore; and Taipei, Taiwan.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our properties have been well-maintained, are in sound operating condition and contain all equipment and facilities necessary to operate at present levels. We believe all of our facilities are suitable and adequate for our present purposes. We do not identify or allocate assets by operating segment. For information on net property, plant and equipment by country, see Note 16 of the Notes to the Consolidated Financial Statements in Part II, Item 8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the information under the heading “Legal Matters” in Note 10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Our common stock is traded on the NASDAQ Global Select Market under the symbol "QRVO." The table below shows the high and low sales prices of our common stock from the date of the Business Combination through the end of our fiscal year, as reported by The NASDAQ Stock Market LLC. As of May 8, 2015, there were 516 holders of record of our common stock. This number does not include the beneficial owners of unexchanged stock certificates related to the Business Combination or the additional beneficial owners of our common stock who held their shares in street name as of that date.</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940" w:type="dxa"/>
            <w:vAlign w:val="bottom"/>
          </w:tcPr>
          <w:p>
            <w:pPr>
              <w:ind w:left="540"/>
              <w:spacing w:after="0"/>
              <w:rPr>
                <w:sz w:val="20"/>
                <w:szCs w:val="20"/>
                <w:color w:val="auto"/>
              </w:rPr>
            </w:pPr>
            <w:r>
              <w:rPr>
                <w:rFonts w:ascii="Arial" w:cs="Arial" w:eastAsia="Arial" w:hAnsi="Arial"/>
                <w:sz w:val="18"/>
                <w:szCs w:val="18"/>
                <w:b w:val="1"/>
                <w:bCs w:val="1"/>
                <w:color w:val="auto"/>
                <w:w w:val="94"/>
              </w:rPr>
              <w:t>High</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7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March 28, 2015</w:t>
            </w: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85.63</w:t>
            </w: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63.02</w:t>
            </w:r>
          </w:p>
        </w:tc>
      </w:tr>
    </w:tbl>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never declared or paid cash dividends on our common stock. Although we currently intend to retain our earnings for use in our business, our future dividend policy with respect to our common stock may change and will depend on our earnings, capital requirements, debt covenants and other factors deemed relevant by our Board of Directors.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30" w:right="27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17145</wp:posOffset>
            </wp:positionV>
            <wp:extent cx="5351145" cy="4090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409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ind w:left="260" w:right="460" w:hanging="242"/>
        <w:spacing w:after="0" w:line="250" w:lineRule="auto"/>
        <w:rPr>
          <w:sz w:val="20"/>
          <w:szCs w:val="20"/>
          <w:color w:val="auto"/>
        </w:rPr>
      </w:pPr>
      <w:r>
        <w:rPr>
          <w:rFonts w:ascii="Arial" w:cs="Arial" w:eastAsia="Arial" w:hAnsi="Arial"/>
          <w:sz w:val="18"/>
          <w:szCs w:val="18"/>
          <w:color w:val="auto"/>
        </w:rPr>
        <w:t>A. The index level for all series assumes that $100.00 was invested in our common stock and each index on January 2, 2015, the registration date of our common stock under Rule 12g-3(c) of the Exchange Act.</w:t>
      </w:r>
    </w:p>
    <w:p>
      <w:pPr>
        <w:spacing w:after="0" w:line="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lines represent monthly index levels derived from compounded daily returns, assuming reinvestment of all dividends.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month end is not a trading day, the preceding trading day is used.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December 28, 2014 to January 24, 2015</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25, 2015 to February 21, 2015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February 22, 2015 to March 28, 2015</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dollar value of shares</w:t>
            </w:r>
          </w:p>
        </w:tc>
      </w:tr>
      <w:tr>
        <w:trPr>
          <w:trHeight w:val="203"/>
        </w:trPr>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Average price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2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0"/>
              </w:rPr>
              <w:t>that may yet be purchased under the</w:t>
            </w:r>
          </w:p>
        </w:tc>
      </w:tr>
      <w:tr>
        <w:trPr>
          <w:trHeight w:val="210"/>
        </w:trPr>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shares purchased</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paid per share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plans or programs</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33"/>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11"/>
        </w:trPr>
        <w:tc>
          <w:tcPr>
            <w:tcW w:w="148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8"/>
                <w:szCs w:val="18"/>
                <w:color w:val="auto"/>
              </w:rPr>
            </w:pPr>
          </w:p>
        </w:tc>
        <w:tc>
          <w:tcPr>
            <w:tcW w:w="1260" w:type="dxa"/>
            <w:vAlign w:val="bottom"/>
          </w:tcPr>
          <w:p>
            <w:pPr>
              <w:jc w:val="right"/>
              <w:ind w:right="45"/>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70"/>
        </w:trPr>
        <w:tc>
          <w:tcPr>
            <w:tcW w:w="1480" w:type="dxa"/>
            <w:vAlign w:val="bottom"/>
          </w:tcPr>
          <w:p>
            <w:pPr>
              <w:jc w:val="right"/>
              <w:spacing w:after="0"/>
              <w:rPr>
                <w:sz w:val="20"/>
                <w:szCs w:val="20"/>
                <w:color w:val="auto"/>
              </w:rPr>
            </w:pPr>
            <w:r>
              <w:rPr>
                <w:rFonts w:ascii="Arial" w:cs="Arial" w:eastAsia="Arial" w:hAnsi="Arial"/>
                <w:sz w:val="14"/>
                <w:szCs w:val="14"/>
                <w:color w:val="auto"/>
              </w:rPr>
              <w:t>741,041</w:t>
            </w:r>
          </w:p>
        </w:tc>
        <w:tc>
          <w:tcPr>
            <w:tcW w:w="120" w:type="dxa"/>
            <w:vAlign w:val="bottom"/>
          </w:tcPr>
          <w:p>
            <w:pPr>
              <w:spacing w:after="0"/>
              <w:rPr>
                <w:sz w:val="23"/>
                <w:szCs w:val="23"/>
                <w:color w:val="auto"/>
              </w:rPr>
            </w:pPr>
          </w:p>
        </w:tc>
        <w:tc>
          <w:tcPr>
            <w:tcW w:w="1260" w:type="dxa"/>
            <w:vAlign w:val="bottom"/>
          </w:tcPr>
          <w:p>
            <w:pPr>
              <w:jc w:val="right"/>
              <w:ind w:right="45"/>
              <w:spacing w:after="0"/>
              <w:rPr>
                <w:sz w:val="20"/>
                <w:szCs w:val="20"/>
                <w:color w:val="auto"/>
              </w:rPr>
            </w:pPr>
            <w:r>
              <w:rPr>
                <w:rFonts w:ascii="Arial" w:cs="Arial" w:eastAsia="Arial" w:hAnsi="Arial"/>
                <w:sz w:val="14"/>
                <w:szCs w:val="14"/>
                <w:color w:val="auto"/>
              </w:rPr>
              <w:t>$65.79</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741,041</w:t>
            </w:r>
          </w:p>
        </w:tc>
        <w:tc>
          <w:tcPr>
            <w:tcW w:w="120" w:type="dxa"/>
            <w:vAlign w:val="bottom"/>
          </w:tcPr>
          <w:p>
            <w:pPr>
              <w:spacing w:after="0"/>
              <w:rPr>
                <w:sz w:val="23"/>
                <w:szCs w:val="23"/>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$151.2 million</w:t>
            </w:r>
          </w:p>
        </w:tc>
      </w:tr>
      <w:tr>
        <w:trPr>
          <w:trHeight w:val="270"/>
        </w:trPr>
        <w:tc>
          <w:tcPr>
            <w:tcW w:w="1480" w:type="dxa"/>
            <w:vAlign w:val="bottom"/>
          </w:tcPr>
          <w:p>
            <w:pPr>
              <w:jc w:val="right"/>
              <w:spacing w:after="0"/>
              <w:rPr>
                <w:sz w:val="20"/>
                <w:szCs w:val="20"/>
                <w:color w:val="auto"/>
              </w:rPr>
            </w:pPr>
            <w:r>
              <w:rPr>
                <w:rFonts w:ascii="Arial" w:cs="Arial" w:eastAsia="Arial" w:hAnsi="Arial"/>
                <w:sz w:val="14"/>
                <w:szCs w:val="14"/>
                <w:color w:val="auto"/>
              </w:rPr>
              <w:t>18,042</w:t>
            </w:r>
          </w:p>
        </w:tc>
        <w:tc>
          <w:tcPr>
            <w:tcW w:w="120" w:type="dxa"/>
            <w:vAlign w:val="bottom"/>
          </w:tcPr>
          <w:p>
            <w:pPr>
              <w:spacing w:after="0"/>
              <w:rPr>
                <w:sz w:val="23"/>
                <w:szCs w:val="23"/>
                <w:color w:val="auto"/>
              </w:rPr>
            </w:pPr>
          </w:p>
        </w:tc>
        <w:tc>
          <w:tcPr>
            <w:tcW w:w="1260" w:type="dxa"/>
            <w:vAlign w:val="bottom"/>
          </w:tcPr>
          <w:p>
            <w:pPr>
              <w:jc w:val="right"/>
              <w:ind w:right="45"/>
              <w:spacing w:after="0"/>
              <w:rPr>
                <w:sz w:val="20"/>
                <w:szCs w:val="20"/>
                <w:color w:val="auto"/>
              </w:rPr>
            </w:pPr>
            <w:r>
              <w:rPr>
                <w:rFonts w:ascii="Arial" w:cs="Arial" w:eastAsia="Arial" w:hAnsi="Arial"/>
                <w:sz w:val="14"/>
                <w:szCs w:val="14"/>
                <w:color w:val="auto"/>
              </w:rPr>
              <w:t>$68.95</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18,042</w:t>
            </w:r>
          </w:p>
        </w:tc>
        <w:tc>
          <w:tcPr>
            <w:tcW w:w="120" w:type="dxa"/>
            <w:vAlign w:val="bottom"/>
          </w:tcPr>
          <w:p>
            <w:pPr>
              <w:spacing w:after="0"/>
              <w:rPr>
                <w:sz w:val="23"/>
                <w:szCs w:val="23"/>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$150.0 million</w:t>
            </w:r>
          </w:p>
        </w:tc>
      </w:tr>
      <w:tr>
        <w:trPr>
          <w:trHeight w:val="53"/>
        </w:trPr>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720" w:type="dxa"/>
            <w:vAlign w:val="bottom"/>
          </w:tcPr>
          <w:p>
            <w:pPr>
              <w:spacing w:after="0"/>
              <w:rPr>
                <w:sz w:val="4"/>
                <w:szCs w:val="4"/>
                <w:color w:val="auto"/>
              </w:rPr>
            </w:pPr>
          </w:p>
        </w:tc>
      </w:tr>
      <w:tr>
        <w:trPr>
          <w:trHeight w:val="238"/>
        </w:trPr>
        <w:tc>
          <w:tcPr>
            <w:tcW w:w="1480" w:type="dxa"/>
            <w:vAlign w:val="bottom"/>
          </w:tcPr>
          <w:p>
            <w:pPr>
              <w:jc w:val="right"/>
              <w:spacing w:after="0"/>
              <w:rPr>
                <w:sz w:val="20"/>
                <w:szCs w:val="20"/>
                <w:color w:val="auto"/>
              </w:rPr>
            </w:pPr>
            <w:r>
              <w:rPr>
                <w:rFonts w:ascii="Arial" w:cs="Arial" w:eastAsia="Arial" w:hAnsi="Arial"/>
                <w:sz w:val="14"/>
                <w:szCs w:val="14"/>
                <w:color w:val="auto"/>
              </w:rPr>
              <w:t>759,083</w:t>
            </w:r>
          </w:p>
        </w:tc>
        <w:tc>
          <w:tcPr>
            <w:tcW w:w="120" w:type="dxa"/>
            <w:vAlign w:val="bottom"/>
          </w:tcPr>
          <w:p>
            <w:pPr>
              <w:spacing w:after="0"/>
              <w:rPr>
                <w:sz w:val="20"/>
                <w:szCs w:val="20"/>
                <w:color w:val="auto"/>
              </w:rPr>
            </w:pPr>
          </w:p>
        </w:tc>
        <w:tc>
          <w:tcPr>
            <w:tcW w:w="1260" w:type="dxa"/>
            <w:vAlign w:val="bottom"/>
          </w:tcPr>
          <w:p>
            <w:pPr>
              <w:jc w:val="right"/>
              <w:ind w:right="45"/>
              <w:spacing w:after="0"/>
              <w:rPr>
                <w:sz w:val="20"/>
                <w:szCs w:val="20"/>
                <w:color w:val="auto"/>
              </w:rPr>
            </w:pPr>
            <w:r>
              <w:rPr>
                <w:rFonts w:ascii="Arial" w:cs="Arial" w:eastAsia="Arial" w:hAnsi="Arial"/>
                <w:sz w:val="14"/>
                <w:szCs w:val="14"/>
                <w:color w:val="auto"/>
              </w:rPr>
              <w:t>$65.87</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759,083</w:t>
            </w:r>
          </w:p>
        </w:tc>
        <w:tc>
          <w:tcPr>
            <w:tcW w:w="1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4"/>
                <w:szCs w:val="14"/>
                <w:color w:val="auto"/>
              </w:rPr>
              <w:t>$150.0 million</w:t>
            </w:r>
          </w:p>
        </w:tc>
      </w:tr>
      <w:tr>
        <w:trPr>
          <w:trHeight w:val="80"/>
        </w:trPr>
        <w:tc>
          <w:tcPr>
            <w:tcW w:w="14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2740" w:space="720"/>
            <w:col w:w="7960"/>
          </w:cols>
          <w:pgMar w:left="240" w:top="130" w:right="239" w:bottom="1440" w:gutter="0" w:footer="0" w:header="0"/>
          <w:type w:val="continuous"/>
        </w:sectPr>
      </w:pPr>
    </w:p>
    <w:p>
      <w:pPr>
        <w:ind w:right="80"/>
        <w:spacing w:after="0" w:line="279" w:lineRule="auto"/>
        <w:rPr>
          <w:sz w:val="20"/>
          <w:szCs w:val="20"/>
          <w:color w:val="auto"/>
        </w:rPr>
      </w:pPr>
      <w:r>
        <w:rPr>
          <w:rFonts w:ascii="Arial" w:cs="Arial" w:eastAsia="Arial" w:hAnsi="Arial"/>
          <w:sz w:val="17"/>
          <w:szCs w:val="17"/>
          <w:color w:val="auto"/>
        </w:rPr>
        <w:t>On February 5, 2015, we announced that our Board of Directors authorized the repurchase of up to $200 million of our outstanding common stock, exclusive of related fees, commissions or other expenses. Repurchases may be made at management’s discretion from time to time on the open market or in privately negotiated transactions, and the program may be discontinued at any time. The repurchase program does not have an expiration date. Pursuant to this authorization, during the fourth quarter of fiscal 2015 we repurchased 759,083 shares of our common stock at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average price per share of $65.87, for a total cost of approximately $50 million. At March 28, 2015, approximately $150 million remains available for future repurchases under this authorization. In connection with the Business Combination, each share of RFMD common stock was converted into the right to receive 0.25 of a share of Qorvo common stock plus cash in lieu of fractional shares, and each share of TriQuint common stock was converted into the right to receive 0.4187 of a share of Qorvo common stock plus cash in lieu of fractional shares. Approximately 13,160 fractional shares were repurchased for $0.9 million. The above table does not include the purchase of these fractional shares.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selected financial data set forth below for the fiscal years indicated were derived from our audited consolidated financial statements. The information should be read in conjunction with our consolidated financial statements and with “Management’s Discussion and Analysis of Financial Condition and Results of Operations” appearing in Item 7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Fiscal Year End</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680" w:type="dxa"/>
            <w:vAlign w:val="bottom"/>
          </w:tcPr>
          <w:p>
            <w:pPr>
              <w:jc w:val="right"/>
              <w:ind w:right="388"/>
              <w:spacing w:after="0"/>
              <w:rPr>
                <w:sz w:val="20"/>
                <w:szCs w:val="20"/>
                <w:color w:val="auto"/>
              </w:rPr>
            </w:pPr>
            <w:r>
              <w:rPr>
                <w:rFonts w:ascii="Arial" w:cs="Arial" w:eastAsia="Arial" w:hAnsi="Arial"/>
                <w:sz w:val="13"/>
                <w:szCs w:val="13"/>
                <w:color w:val="auto"/>
              </w:rPr>
              <w:t>(5)</w:t>
            </w: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2012</w:t>
            </w:r>
          </w:p>
        </w:tc>
        <w:tc>
          <w:tcPr>
            <w:tcW w:w="440" w:type="dxa"/>
            <w:vAlign w:val="bottom"/>
          </w:tcPr>
          <w:p>
            <w:pPr>
              <w:spacing w:after="0"/>
              <w:rPr>
                <w:sz w:val="20"/>
                <w:szCs w:val="20"/>
                <w:color w:val="auto"/>
              </w:rPr>
            </w:pPr>
          </w:p>
        </w:tc>
        <w:tc>
          <w:tcPr>
            <w:tcW w:w="13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2011</w:t>
            </w:r>
          </w:p>
        </w:tc>
      </w:tr>
      <w:tr>
        <w:trPr>
          <w:trHeight w:val="27"/>
        </w:trPr>
        <w:tc>
          <w:tcPr>
            <w:tcW w:w="3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0" w:type="dxa"/>
            <w:vAlign w:val="bottom"/>
            <w:gridSpan w:val="5"/>
          </w:tcPr>
          <w:p>
            <w:pPr>
              <w:jc w:val="right"/>
              <w:spacing w:after="0"/>
              <w:rPr>
                <w:sz w:val="20"/>
                <w:szCs w:val="20"/>
                <w:color w:val="auto"/>
              </w:rPr>
            </w:pPr>
            <w:r>
              <w:rPr>
                <w:rFonts w:ascii="Arial" w:cs="Arial" w:eastAsia="Arial" w:hAnsi="Arial"/>
                <w:sz w:val="18"/>
                <w:szCs w:val="18"/>
                <w:color w:val="auto"/>
              </w:rPr>
              <w:t>(In thousands, except per share data)</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62"/>
        </w:trPr>
        <w:tc>
          <w:tcPr>
            <w:tcW w:w="3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1,710,966</w:t>
            </w:r>
          </w:p>
        </w:tc>
        <w:tc>
          <w:tcPr>
            <w:tcW w:w="68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1,148,231</w:t>
            </w:r>
          </w:p>
        </w:tc>
        <w:tc>
          <w:tcPr>
            <w:tcW w:w="3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964,147</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871,352</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1,051,756</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9"/>
        </w:trPr>
        <w:tc>
          <w:tcPr>
            <w:tcW w:w="3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1,021,658</w:t>
            </w: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743,304</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658,332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582,586</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662,085</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257,494</w:t>
            </w: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197,269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178,793</w:t>
            </w:r>
          </w:p>
        </w:tc>
        <w:tc>
          <w:tcPr>
            <w:tcW w:w="56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151,697</w:t>
            </w:r>
          </w:p>
        </w:tc>
        <w:tc>
          <w:tcPr>
            <w:tcW w:w="44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141,097</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selling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164,657</w:t>
            </w:r>
          </w:p>
        </w:tc>
        <w:tc>
          <w:tcPr>
            <w:tcW w:w="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74,672</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68,674</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63,217</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59,470</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85,229</w:t>
            </w:r>
          </w:p>
        </w:tc>
        <w:tc>
          <w:tcPr>
            <w:tcW w:w="6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76,732</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64,242</w:t>
            </w:r>
          </w:p>
        </w:tc>
        <w:tc>
          <w:tcPr>
            <w:tcW w:w="56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50,107</w:t>
            </w:r>
          </w:p>
        </w:tc>
        <w:tc>
          <w:tcPr>
            <w:tcW w:w="44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48,003</w:t>
            </w:r>
          </w:p>
        </w:tc>
      </w:tr>
      <w:tr>
        <w:trPr>
          <w:trHeight w:val="27"/>
        </w:trPr>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59,462</w:t>
            </w:r>
          </w:p>
        </w:tc>
        <w:tc>
          <w:tcPr>
            <w:tcW w:w="68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3"/>
                <w:szCs w:val="13"/>
                <w:color w:val="auto"/>
              </w:rPr>
              <w:t>(6)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28,913</w:t>
            </w:r>
          </w:p>
        </w:tc>
        <w:tc>
          <w:tcPr>
            <w:tcW w:w="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9,786</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(898)</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1,582</w:t>
            </w: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1,588,500</w:t>
            </w:r>
          </w:p>
        </w:tc>
        <w:tc>
          <w:tcPr>
            <w:tcW w:w="6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1,120,890</w:t>
            </w: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979,827</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846,709</w:t>
            </w:r>
          </w:p>
        </w:tc>
        <w:tc>
          <w:tcPr>
            <w:tcW w:w="4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912,237</w:t>
            </w:r>
          </w:p>
        </w:tc>
      </w:tr>
      <w:tr>
        <w:trPr>
          <w:trHeight w:val="27"/>
        </w:trPr>
        <w:tc>
          <w:tcPr>
            <w:tcW w:w="3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122,466</w:t>
            </w:r>
          </w:p>
        </w:tc>
        <w:tc>
          <w:tcPr>
            <w:tcW w:w="6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(15,680)</w:t>
            </w: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24,643</w:t>
            </w: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139,519</w:t>
            </w:r>
          </w:p>
        </w:tc>
      </w:tr>
      <w:tr>
        <w:trPr>
          <w:trHeight w:val="27"/>
        </w:trPr>
        <w:tc>
          <w:tcPr>
            <w:tcW w:w="3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780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0" w:right="140"/>
        <w:spacing w:after="0" w:line="361" w:lineRule="auto"/>
        <w:rPr>
          <w:sz w:val="20"/>
          <w:szCs w:val="20"/>
          <w:color w:val="auto"/>
        </w:rPr>
      </w:pPr>
      <w:r>
        <w:rPr>
          <w:rFonts w:ascii="Arial" w:cs="Arial" w:eastAsia="Arial" w:hAnsi="Arial"/>
          <w:sz w:val="16"/>
          <w:szCs w:val="16"/>
          <w:color w:val="auto"/>
        </w:rPr>
        <w:t>Other (expense) income, net Income (loss) before income taxes</w:t>
      </w:r>
    </w:p>
    <w:p>
      <w:pPr>
        <w:ind w:left="40"/>
        <w:spacing w:after="0"/>
        <w:rPr>
          <w:sz w:val="20"/>
          <w:szCs w:val="20"/>
          <w:color w:val="auto"/>
        </w:rPr>
      </w:pPr>
      <w:r>
        <w:rPr>
          <w:rFonts w:ascii="Arial" w:cs="Arial" w:eastAsia="Arial" w:hAnsi="Arial"/>
          <w:sz w:val="18"/>
          <w:szCs w:val="18"/>
          <w:color w:val="auto"/>
        </w:rPr>
        <w:t>Income tax benefit (expense)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per share: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Shares used in per share calculation:</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Working capital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00" w:right="180" w:hanging="161"/>
        <w:spacing w:after="0" w:line="317" w:lineRule="auto"/>
        <w:rPr>
          <w:sz w:val="20"/>
          <w:szCs w:val="20"/>
          <w:color w:val="auto"/>
        </w:rPr>
      </w:pPr>
      <w:r>
        <w:rPr>
          <w:rFonts w:ascii="Arial" w:cs="Arial" w:eastAsia="Arial" w:hAnsi="Arial"/>
          <w:sz w:val="16"/>
          <w:szCs w:val="16"/>
          <w:color w:val="auto"/>
        </w:rPr>
        <w:t>Long-term debt and capital lease obligations, less current portion</w:t>
      </w:r>
    </w:p>
    <w:p>
      <w:pPr>
        <w:ind w:left="4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(1,421)</w:t>
            </w:r>
          </w:p>
        </w:tc>
        <w:tc>
          <w:tcPr>
            <w:tcW w:w="6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(5,983)</w:t>
            </w:r>
          </w:p>
        </w:tc>
        <w:tc>
          <w:tcPr>
            <w:tcW w:w="56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(6,532)</w:t>
            </w:r>
          </w:p>
        </w:tc>
        <w:tc>
          <w:tcPr>
            <w:tcW w:w="3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(10,997)</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(17,140)</w:t>
            </w:r>
          </w:p>
        </w:tc>
        <w:tc>
          <w:tcPr>
            <w:tcW w:w="340" w:type="dxa"/>
            <w:vAlign w:val="bottom"/>
          </w:tcPr>
          <w:p>
            <w:pPr>
              <w:spacing w:after="0"/>
              <w:rPr>
                <w:sz w:val="20"/>
                <w:szCs w:val="20"/>
                <w:color w:val="auto"/>
              </w:rPr>
            </w:pP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6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179</w:t>
            </w:r>
          </w:p>
        </w:tc>
        <w:tc>
          <w:tcPr>
            <w:tcW w:w="56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34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6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2,336</w:t>
            </w:r>
          </w:p>
        </w:tc>
        <w:tc>
          <w:tcPr>
            <w:tcW w:w="560" w:type="dxa"/>
            <w:vAlign w:val="bottom"/>
          </w:tcPr>
          <w:p>
            <w:pPr>
              <w:spacing w:after="0"/>
              <w:rPr>
                <w:sz w:val="23"/>
                <w:szCs w:val="23"/>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(3,936)</w:t>
            </w:r>
          </w:p>
        </w:tc>
        <w:tc>
          <w:tcPr>
            <w:tcW w:w="30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1,514</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23"/>
                <w:szCs w:val="23"/>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121,241</w:t>
            </w:r>
          </w:p>
        </w:tc>
        <w:tc>
          <w:tcPr>
            <w:tcW w:w="6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23,873</w:t>
            </w:r>
          </w:p>
        </w:tc>
        <w:tc>
          <w:tcPr>
            <w:tcW w:w="560" w:type="dxa"/>
            <w:vAlign w:val="bottom"/>
          </w:tcPr>
          <w:p>
            <w:pPr>
              <w:spacing w:after="0"/>
              <w:rPr>
                <w:sz w:val="20"/>
                <w:szCs w:val="20"/>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(25,899)</w:t>
            </w:r>
          </w:p>
        </w:tc>
        <w:tc>
          <w:tcPr>
            <w:tcW w:w="30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15,628</w:t>
            </w:r>
          </w:p>
        </w:tc>
        <w:tc>
          <w:tcPr>
            <w:tcW w:w="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123,505</w:t>
            </w:r>
          </w:p>
        </w:tc>
        <w:tc>
          <w:tcPr>
            <w:tcW w:w="340" w:type="dxa"/>
            <w:vAlign w:val="bottom"/>
          </w:tcPr>
          <w:p>
            <w:pPr>
              <w:spacing w:after="0"/>
              <w:rPr>
                <w:sz w:val="20"/>
                <w:szCs w:val="20"/>
                <w:color w:val="auto"/>
              </w:rPr>
            </w:pPr>
          </w:p>
        </w:tc>
      </w:tr>
      <w:tr>
        <w:trPr>
          <w:trHeight w:val="297"/>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75,062</w:t>
            </w:r>
          </w:p>
        </w:tc>
        <w:tc>
          <w:tcPr>
            <w:tcW w:w="6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color w:val="auto"/>
              </w:rPr>
              <w:t>(7)</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(11,231)</w:t>
            </w: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(27,100) </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xml:space="preserve">(14,771)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7"/>
              </w:rPr>
              <w:t>(1)</w:t>
            </w: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196,303</w:t>
            </w:r>
          </w:p>
        </w:tc>
        <w:tc>
          <w:tcPr>
            <w:tcW w:w="640" w:type="dxa"/>
            <w:vAlign w:val="bottom"/>
          </w:tcPr>
          <w:p>
            <w:pPr>
              <w:jc w:val="right"/>
              <w:ind w:right="10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12,642</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(52,999)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857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124,558</w:t>
            </w:r>
          </w:p>
        </w:tc>
        <w:tc>
          <w:tcPr>
            <w:tcW w:w="34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94"/>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640" w:type="dxa"/>
            <w:vAlign w:val="bottom"/>
          </w:tcPr>
          <w:p>
            <w:pPr>
              <w:jc w:val="right"/>
              <w:ind w:right="10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0.18</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0.01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24"/>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640" w:type="dxa"/>
            <w:vAlign w:val="bottom"/>
          </w:tcPr>
          <w:p>
            <w:pPr>
              <w:jc w:val="right"/>
              <w:ind w:right="103"/>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0.18</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(0.76)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0.01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9"/>
                <w:szCs w:val="19"/>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94"/>
        </w:trPr>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90,477</w:t>
            </w:r>
          </w:p>
        </w:tc>
        <w:tc>
          <w:tcPr>
            <w:tcW w:w="6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70,499</w:t>
            </w:r>
          </w:p>
        </w:tc>
        <w:tc>
          <w:tcPr>
            <w:tcW w:w="560" w:type="dxa"/>
            <w:vAlign w:val="bottom"/>
          </w:tcPr>
          <w:p>
            <w:pPr>
              <w:spacing w:after="0"/>
              <w:rPr>
                <w:sz w:val="24"/>
                <w:szCs w:val="24"/>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69,650</w:t>
            </w:r>
          </w:p>
        </w:tc>
        <w:tc>
          <w:tcPr>
            <w:tcW w:w="300" w:type="dxa"/>
            <w:vAlign w:val="bottom"/>
          </w:tcPr>
          <w:p>
            <w:pPr>
              <w:spacing w:after="0"/>
              <w:rPr>
                <w:sz w:val="24"/>
                <w:szCs w:val="24"/>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69,072</w:t>
            </w:r>
          </w:p>
        </w:tc>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68,144</w:t>
            </w:r>
          </w:p>
        </w:tc>
        <w:tc>
          <w:tcPr>
            <w:tcW w:w="34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24"/>
        </w:trPr>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93,211</w:t>
            </w:r>
          </w:p>
        </w:tc>
        <w:tc>
          <w:tcPr>
            <w:tcW w:w="6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72,019</w:t>
            </w:r>
          </w:p>
        </w:tc>
        <w:tc>
          <w:tcPr>
            <w:tcW w:w="560" w:type="dxa"/>
            <w:vAlign w:val="bottom"/>
          </w:tcPr>
          <w:p>
            <w:pPr>
              <w:spacing w:after="0"/>
              <w:rPr>
                <w:sz w:val="19"/>
                <w:szCs w:val="19"/>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69,650</w:t>
            </w:r>
          </w:p>
        </w:tc>
        <w:tc>
          <w:tcPr>
            <w:tcW w:w="300" w:type="dxa"/>
            <w:vAlign w:val="bottom"/>
          </w:tcPr>
          <w:p>
            <w:pPr>
              <w:spacing w:after="0"/>
              <w:rPr>
                <w:sz w:val="19"/>
                <w:szCs w:val="19"/>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70,644</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70,099</w:t>
            </w:r>
          </w:p>
        </w:tc>
        <w:tc>
          <w:tcPr>
            <w:tcW w:w="340" w:type="dxa"/>
            <w:vAlign w:val="bottom"/>
          </w:tcPr>
          <w:p>
            <w:pPr>
              <w:spacing w:after="0"/>
              <w:rPr>
                <w:sz w:val="19"/>
                <w:szCs w:val="19"/>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440"/>
        </w:trPr>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As of Fiscal Year End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jc w:val="right"/>
              <w:ind w:right="383"/>
              <w:spacing w:after="0"/>
              <w:rPr>
                <w:sz w:val="20"/>
                <w:szCs w:val="20"/>
                <w:color w:val="auto"/>
              </w:rPr>
            </w:pPr>
            <w:r>
              <w:rPr>
                <w:rFonts w:ascii="Arial" w:cs="Arial" w:eastAsia="Arial" w:hAnsi="Arial"/>
                <w:sz w:val="13"/>
                <w:szCs w:val="13"/>
                <w:color w:val="auto"/>
              </w:rPr>
              <w:t>(5)</w:t>
            </w: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299,814</w:t>
            </w:r>
          </w:p>
        </w:tc>
        <w:tc>
          <w:tcPr>
            <w:tcW w:w="6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171,898</w:t>
            </w:r>
          </w:p>
        </w:tc>
        <w:tc>
          <w:tcPr>
            <w:tcW w:w="56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101,662</w:t>
            </w:r>
          </w:p>
        </w:tc>
        <w:tc>
          <w:tcPr>
            <w:tcW w:w="30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135,524</w:t>
            </w:r>
          </w:p>
        </w:tc>
        <w:tc>
          <w:tcPr>
            <w:tcW w:w="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131,760</w:t>
            </w:r>
          </w:p>
        </w:tc>
        <w:tc>
          <w:tcPr>
            <w:tcW w:w="340" w:type="dxa"/>
            <w:vAlign w:val="bottom"/>
          </w:tcPr>
          <w:p>
            <w:pPr>
              <w:spacing w:after="0"/>
              <w:rPr>
                <w:sz w:val="20"/>
                <w:szCs w:val="20"/>
                <w:color w:val="auto"/>
              </w:rPr>
            </w:pP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244,830</w:t>
            </w:r>
          </w:p>
        </w:tc>
        <w:tc>
          <w:tcPr>
            <w:tcW w:w="6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72,067</w:t>
            </w:r>
          </w:p>
        </w:tc>
        <w:tc>
          <w:tcPr>
            <w:tcW w:w="56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77,987</w:t>
            </w:r>
          </w:p>
        </w:tc>
        <w:tc>
          <w:tcPr>
            <w:tcW w:w="30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164,863</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159,881</w:t>
            </w:r>
          </w:p>
        </w:tc>
        <w:tc>
          <w:tcPr>
            <w:tcW w:w="34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1,174,795</w:t>
            </w:r>
          </w:p>
        </w:tc>
        <w:tc>
          <w:tcPr>
            <w:tcW w:w="6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317,445</w:t>
            </w:r>
          </w:p>
        </w:tc>
        <w:tc>
          <w:tcPr>
            <w:tcW w:w="56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330,523</w:t>
            </w:r>
          </w:p>
        </w:tc>
        <w:tc>
          <w:tcPr>
            <w:tcW w:w="30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421,182</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465,222</w:t>
            </w:r>
          </w:p>
        </w:tc>
        <w:tc>
          <w:tcPr>
            <w:tcW w:w="340" w:type="dxa"/>
            <w:vAlign w:val="bottom"/>
          </w:tcPr>
          <w:p>
            <w:pPr>
              <w:spacing w:after="0"/>
              <w:rPr>
                <w:sz w:val="23"/>
                <w:szCs w:val="23"/>
                <w:color w:val="auto"/>
              </w:rPr>
            </w:pP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6,892,379</w:t>
            </w:r>
          </w:p>
        </w:tc>
        <w:tc>
          <w:tcPr>
            <w:tcW w:w="640" w:type="dxa"/>
            <w:vAlign w:val="bottom"/>
          </w:tcPr>
          <w:p>
            <w:pPr>
              <w:jc w:val="right"/>
              <w:ind w:right="383"/>
              <w:spacing w:after="0"/>
              <w:rPr>
                <w:sz w:val="20"/>
                <w:szCs w:val="20"/>
                <w:color w:val="auto"/>
              </w:rPr>
            </w:pPr>
            <w:r>
              <w:rPr>
                <w:rFonts w:ascii="Arial" w:cs="Arial" w:eastAsia="Arial" w:hAnsi="Arial"/>
                <w:sz w:val="13"/>
                <w:szCs w:val="13"/>
                <w:color w:val="auto"/>
              </w:rPr>
              <w:t>(8)</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920,312</w:t>
            </w:r>
          </w:p>
        </w:tc>
        <w:tc>
          <w:tcPr>
            <w:tcW w:w="56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931,999</w:t>
            </w:r>
          </w:p>
        </w:tc>
        <w:tc>
          <w:tcPr>
            <w:tcW w:w="30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964,584</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1,025,393</w:t>
            </w:r>
          </w:p>
        </w:tc>
        <w:tc>
          <w:tcPr>
            <w:tcW w:w="340" w:type="dxa"/>
            <w:vAlign w:val="bottom"/>
          </w:tcPr>
          <w:p>
            <w:pPr>
              <w:spacing w:after="0"/>
              <w:rPr>
                <w:sz w:val="23"/>
                <w:szCs w:val="23"/>
                <w:color w:val="auto"/>
              </w:rPr>
            </w:pPr>
          </w:p>
        </w:tc>
      </w:tr>
      <w:tr>
        <w:trPr>
          <w:trHeight w:val="486"/>
        </w:trPr>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24"/>
                <w:szCs w:val="24"/>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82,123</w:t>
            </w:r>
          </w:p>
        </w:tc>
        <w:tc>
          <w:tcPr>
            <w:tcW w:w="300" w:type="dxa"/>
            <w:vAlign w:val="bottom"/>
          </w:tcPr>
          <w:p>
            <w:pPr>
              <w:spacing w:after="0"/>
              <w:rPr>
                <w:sz w:val="24"/>
                <w:szCs w:val="24"/>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119,102</w:t>
            </w:r>
          </w:p>
        </w:tc>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177,557</w:t>
            </w:r>
          </w:p>
        </w:tc>
        <w:tc>
          <w:tcPr>
            <w:tcW w:w="340" w:type="dxa"/>
            <w:vAlign w:val="bottom"/>
          </w:tcPr>
          <w:p>
            <w:pPr>
              <w:spacing w:after="0"/>
              <w:rPr>
                <w:sz w:val="24"/>
                <w:szCs w:val="24"/>
                <w:color w:val="auto"/>
              </w:rPr>
            </w:pPr>
          </w:p>
        </w:tc>
      </w:tr>
      <w:tr>
        <w:trPr>
          <w:trHeight w:val="270"/>
        </w:trPr>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6,173,160</w:t>
            </w:r>
          </w:p>
        </w:tc>
        <w:tc>
          <w:tcPr>
            <w:tcW w:w="6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676,351</w:t>
            </w:r>
          </w:p>
        </w:tc>
        <w:tc>
          <w:tcPr>
            <w:tcW w:w="56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639,014</w:t>
            </w:r>
          </w:p>
        </w:tc>
        <w:tc>
          <w:tcPr>
            <w:tcW w:w="30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672,331</w:t>
            </w:r>
          </w:p>
        </w:tc>
        <w:tc>
          <w:tcPr>
            <w:tcW w:w="34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676,355</w:t>
            </w:r>
          </w:p>
        </w:tc>
        <w:tc>
          <w:tcPr>
            <w:tcW w:w="3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-3507105</wp:posOffset>
            </wp:positionV>
            <wp:extent cx="71780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-3155315</wp:posOffset>
            </wp:positionV>
            <wp:extent cx="71780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-2795270</wp:posOffset>
            </wp:positionV>
            <wp:extent cx="717804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-2426335</wp:posOffset>
            </wp:positionV>
            <wp:extent cx="717804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9748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-2040255</wp:posOffset>
            </wp:positionV>
            <wp:extent cx="717804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8034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-1663065</wp:posOffset>
            </wp:positionV>
            <wp:extent cx="717804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5430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-1337310</wp:posOffset>
            </wp:positionV>
            <wp:extent cx="717804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8034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-977265</wp:posOffset>
            </wp:positionV>
            <wp:extent cx="71780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-633730</wp:posOffset>
            </wp:positionV>
            <wp:extent cx="71780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-153670</wp:posOffset>
            </wp:positionV>
            <wp:extent cx="71780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520"/>
            <w:col w:w="8240"/>
          </w:cols>
          <w:pgMar w:left="240" w:top="130"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1 Income tax benefit for fiscal 2011 includes the effects of a reduction of a valuation reserve against foreign and domestic net deferred tax assets.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2 Income tax expense for fiscal 2012 includes the effects of an increase of a valuation reserve against foreign net deferred tax assets.</w:t>
      </w:r>
    </w:p>
    <w:p>
      <w:pPr>
        <w:spacing w:after="0" w:line="96"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3 Income tax expense for fiscal 2013 includes the effects of an increase of a valuation reserve against domestic net deferred tax assets and the U.K. net deferred tax asset as a result of the decision to phase out manufacturing at our U.K. facility (see Note 12 of the Notes to the Consolidated Financial Statements).</w:t>
      </w:r>
    </w:p>
    <w:p>
      <w:pPr>
        <w:spacing w:after="0" w:line="52"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4 Other operating expense (income) includes the impairment of intangible assets of $11.3 million and restructuring expenses of $11.1 million (see Note 11 of the Notes to the Consolidated Financial Statements), as well as acquisition related expenses of $5.1 million (see Note 5 of the Notes to the Consolidated Financial Statements).</w:t>
      </w:r>
    </w:p>
    <w:p>
      <w:pPr>
        <w:spacing w:after="0" w:line="52" w:lineRule="exact"/>
        <w:rPr>
          <w:sz w:val="20"/>
          <w:szCs w:val="20"/>
          <w:color w:val="auto"/>
        </w:rPr>
      </w:pPr>
    </w:p>
    <w:p>
      <w:pPr>
        <w:ind w:left="120" w:right="200" w:hanging="107"/>
        <w:spacing w:after="0" w:line="273" w:lineRule="auto"/>
        <w:rPr>
          <w:sz w:val="20"/>
          <w:szCs w:val="20"/>
          <w:color w:val="auto"/>
        </w:rPr>
      </w:pPr>
      <w:r>
        <w:rPr>
          <w:rFonts w:ascii="Arial" w:cs="Arial" w:eastAsia="Arial" w:hAnsi="Arial"/>
          <w:sz w:val="14"/>
          <w:szCs w:val="14"/>
          <w:color w:val="auto"/>
        </w:rPr>
        <w:t>5 As a result of the Business Combination which was completed on January 1, 2015, fiscal 2015 results include the results of TriQuint as of March 28, 2015 and for the period of January 1, 2015 through March 28, 2015.</w:t>
      </w:r>
    </w:p>
    <w:p>
      <w:pPr>
        <w:spacing w:after="0" w:line="52" w:lineRule="exact"/>
        <w:rPr>
          <w:sz w:val="20"/>
          <w:szCs w:val="20"/>
          <w:color w:val="auto"/>
        </w:rPr>
      </w:pPr>
    </w:p>
    <w:p>
      <w:pPr>
        <w:ind w:left="120" w:right="380" w:hanging="107"/>
        <w:spacing w:after="0" w:line="273" w:lineRule="auto"/>
        <w:rPr>
          <w:sz w:val="20"/>
          <w:szCs w:val="20"/>
          <w:color w:val="auto"/>
        </w:rPr>
      </w:pPr>
      <w:r>
        <w:rPr>
          <w:rFonts w:ascii="Arial" w:cs="Arial" w:eastAsia="Arial" w:hAnsi="Arial"/>
          <w:sz w:val="14"/>
          <w:szCs w:val="14"/>
          <w:color w:val="auto"/>
        </w:rPr>
        <w:t>6 Other operating expense (income) includes acquisition and integration related expenses of $43.5 million (see Note 5 of the Notes to the Consolidated Financial Statements) and restructuring expenses of $10.9 million associated with the Business Combination (see Note 11 of the Notes to the Consolidated Financial Statements).</w:t>
      </w:r>
    </w:p>
    <w:p>
      <w:pPr>
        <w:spacing w:after="0" w:line="52"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7 Income tax benefit for fiscal 2015 includes the effects of the income tax benefit generated by the reduction in the valuation reserve against domestic deferred tax assets (see Note 12 of the Notes to the Consolidated Financial Statements).</w:t>
      </w:r>
    </w:p>
    <w:p>
      <w:pPr>
        <w:spacing w:after="0" w:line="52" w:lineRule="exact"/>
        <w:rPr>
          <w:sz w:val="20"/>
          <w:szCs w:val="20"/>
          <w:color w:val="auto"/>
        </w:rPr>
      </w:pPr>
    </w:p>
    <w:p>
      <w:pPr>
        <w:ind w:left="120" w:right="400" w:hanging="107"/>
        <w:spacing w:after="0" w:line="273" w:lineRule="auto"/>
        <w:rPr>
          <w:sz w:val="20"/>
          <w:szCs w:val="20"/>
          <w:color w:val="auto"/>
        </w:rPr>
      </w:pPr>
      <w:r>
        <w:rPr>
          <w:rFonts w:ascii="Arial" w:cs="Arial" w:eastAsia="Arial" w:hAnsi="Arial"/>
          <w:sz w:val="14"/>
          <w:szCs w:val="14"/>
          <w:color w:val="auto"/>
        </w:rPr>
        <w:t>8 Total assets include goodwill and intangible assets totaling approximately $4,430.7 million associated with the Business Combination (see Note 5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30" w:right="27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w:t>
      </w:r>
    </w:p>
    <w:p>
      <w:pPr>
        <w:ind w:right="80"/>
        <w:spacing w:after="0" w:line="284" w:lineRule="auto"/>
        <w:rPr>
          <w:sz w:val="20"/>
          <w:szCs w:val="20"/>
          <w:color w:val="auto"/>
        </w:rPr>
      </w:pPr>
      <w:r>
        <w:rPr>
          <w:rFonts w:ascii="Arial" w:cs="Arial" w:eastAsia="Arial" w:hAnsi="Arial"/>
          <w:sz w:val="16"/>
          <w:szCs w:val="16"/>
          <w:i w:val="1"/>
          <w:iCs w:val="1"/>
          <w:color w:val="auto"/>
        </w:rPr>
        <w:t>"estimate,"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variability in our operating results, the inability of certain of our customers or suppliers to access their traditional sources of credit, our industry’s rapidly changing technology, our dependence on a few large customers for a substantial portion of our revenue, a loss of revenue if contracts with the U.S. government or defense and aerospace contractors are canceled or delayed, our ability to implement innovative technologies, our ability to bring new products to market and achieve design wins, the efficient and successful operation of our wafer fabrication facilities, assembly facilities and test and tape and reel facilities, our ability to adjust production capacity in a timely fashion in response to changes in demand for our products, variability in manufacturing yields, industry overcapacity and current macroeconomic conditions, inaccurate product forecasts and corresponding inventory and manufacturing costs, dependence on third parties and our ability to manage platform providers and customer relationships, our dependence on international sales and operations, our ability to attract and retain skilled personnel and develop leaders, our ability to successfully integrate the business of RFMD and TriQuint and fully realize the anticipated benefits from the Business Combination, the possibility that future acquisitions may dilute our stockholders’ ownership and cause us to incur debt and assume contingent liabilities, fluctuations in the price of our common stock, additional claims of infringement on our intellectual property portfolio, lawsuits and claims relating to our products, security breaches and other similar disruptions compromising our information and exposing us to liability, and the impact of stringent environmental regulations, These and other risks and uncertainties, which are described in more detail under Item 1A, “Risk Factors” in this Annual Report on Form 10-K and in other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("Business Combination") under a new holding company named Qorvo, Inc. (the “Company” or “Qorvo”). The transactions contemplated by the Merger Agreement were consummated on January 1, 2015, and as a result, TriQuint's results of operations are included in Qorvo's Consolidated Statements of Operations for the period of January 1, 2015 through March 28, 2015 (the "Post-Combination Period").</w:t>
      </w:r>
    </w:p>
    <w:p>
      <w:pPr>
        <w:spacing w:after="0" w:line="1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financial reporting and accounting purposes, RFMD was the acquirer of TriQuint in the Business Combination. Unless otherwise noted, “we,” “our” or "us” in this report refers to RFMD and its subsidiaries prior to the closing of the Business Combination and to Qorvo and its subsidiaries after the closing of the Business Combination.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leading provider of core technologies and radio frequency (“RF”) solutions for mobile, infrastructure and defense and aerospace applications. We have more than 6,700 global employees dedicated to delivering solutions for everything that connects the world. Qorvo has one of the industry's broadest portfolios of RF products and core technologies, and world-class ISO9001-, ISO 14001- and ISO/TS 16949-certified manufacturing facilities. Our Richardson, Texas facility is a U.S. Department of Defense (“DoD”)-accredited ‘Trusted Source’ (Category 1A) for gallium arsenide (“GaAs"), gallium nitride (“GaN”) and bulk acoustic wave (“BAW”) technologies, products and services. We are a preferred supplier to the world’s leading companies that serve the mobile device, networks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infrastructure and defense and aerospace markets. Our design and manufacturing expertise encompasses many semiconductor process technologies, which we source both internally and through external suppliers. We operate worldwide with our design, sales and manufacturing facilities located throughout Asia, Europe and North America. Our primary design and manufacturing facilities are located in North Carolina, Oregon, Texas and Florida, and our primary assembly and test facilities are located in China, Costa Rica and Texas.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60" w:hanging="332"/>
        <w:spacing w:after="0" w:line="29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Mobile Products (MP) </w:t>
      </w:r>
      <w:r>
        <w:rPr>
          <w:rFonts w:ascii="Arial" w:cs="Arial" w:eastAsia="Arial" w:hAnsi="Arial"/>
          <w:sz w:val="16"/>
          <w:szCs w:val="16"/>
          <w:color w:val="auto"/>
        </w:rPr>
        <w:t>- MP is a leading global supplier of RF solutions that perform various functions in the increasingly complex cellular radio front</w:t>
      </w:r>
      <w:r>
        <w:rPr>
          <w:rFonts w:ascii="Arial" w:cs="Arial" w:eastAsia="Arial" w:hAnsi="Arial"/>
          <w:sz w:val="16"/>
          <w:szCs w:val="16"/>
          <w:i w:val="1"/>
          <w:iCs w:val="1"/>
          <w:color w:val="auto"/>
        </w:rPr>
        <w:t xml:space="preserve"> </w:t>
      </w:r>
      <w:r>
        <w:rPr>
          <w:rFonts w:ascii="Arial" w:cs="Arial" w:eastAsia="Arial" w:hAnsi="Arial"/>
          <w:sz w:val="16"/>
          <w:szCs w:val="16"/>
          <w:color w:val="auto"/>
        </w:rPr>
        <w:t>end section of smartphones and other cellular devices. These RF solutions are required in fourth generation (“4G”) data-centric devices operating under Long-Term Evolution (“LTE”) 4G networks, as well as third generation (“3G”) and second generation (“2G”) mobile devices. Our solutions include complete RF front end modules that combine high-performance filters, power amplifiers (“PAs”) and switches, PA modules, transmit modules, antenna control solutions, antenna switch modules, diversity receive modules and envelope tracking ("ET") power management devices. MP supplies its broad portfolio of RF solutions into a variety of mobile devices, including smartphones, handsets, notebook computers, wearables and tablets.</w:t>
      </w:r>
    </w:p>
    <w:p>
      <w:pPr>
        <w:spacing w:after="0" w:line="164" w:lineRule="exact"/>
        <w:rPr>
          <w:rFonts w:ascii="Arial" w:cs="Arial" w:eastAsia="Arial" w:hAnsi="Arial"/>
          <w:sz w:val="16"/>
          <w:szCs w:val="16"/>
          <w:color w:val="auto"/>
        </w:rPr>
      </w:pPr>
    </w:p>
    <w:p>
      <w:pPr>
        <w:ind w:left="340" w:right="120" w:hanging="332"/>
        <w:spacing w:after="0" w:line="290"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Infrastructure and Defense Products (IDP) </w:t>
      </w:r>
      <w:r>
        <w:rPr>
          <w:rFonts w:ascii="Arial" w:cs="Arial" w:eastAsia="Arial" w:hAnsi="Arial"/>
          <w:sz w:val="16"/>
          <w:szCs w:val="16"/>
          <w:color w:val="auto"/>
        </w:rPr>
        <w:t>- IDP is a leading global supplier of a broad array of RF solutions to wireless network infrastructure, defense</w:t>
      </w:r>
      <w:r>
        <w:rPr>
          <w:rFonts w:ascii="Arial" w:cs="Arial" w:eastAsia="Arial" w:hAnsi="Arial"/>
          <w:sz w:val="16"/>
          <w:szCs w:val="16"/>
          <w:i w:val="1"/>
          <w:iCs w:val="1"/>
          <w:color w:val="auto"/>
        </w:rPr>
        <w:t xml:space="preserve"> </w:t>
      </w:r>
      <w:r>
        <w:rPr>
          <w:rFonts w:ascii="Arial" w:cs="Arial" w:eastAsia="Arial" w:hAnsi="Arial"/>
          <w:sz w:val="16"/>
          <w:szCs w:val="16"/>
          <w:color w:val="auto"/>
        </w:rPr>
        <w:t>and aerospace markets and short-range connectivity applications for commercial, consumer, industrial and automotive markets. Infrastructure applications include 4G LTE and 3G base station deployments, WiFi infrastructure, microwave point-to-point ("PtP") radio and optical network links, and cable television ("CATV") wireline infrastructure. Defense and aerospace applications, which require extreme precision, reliability, durability and supply assurance, include a variety of advanced systems, such as active phased array radar, electronic warfare and various communications applications. Industrial and automotive applications include energy management, private mobile radio, satellite radio and test and measurement equipment. Our IDP products include high power GaAs and GaN PAs, low noise amplifiers, switches, fixed frequency and voltage-controlled oscillators (“VCOs”), filters, attenuators, modulators, driver and transimpedance amplifiers and various multichip and hybrid assemblies.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March 28, 2015, our reportable segments are MP and IDP. These business segments are based on the organizational structure and information reviewed by our Chief Executive Officer, who is our chief operating decision maker (or CODM), and are managed separately based on the end markets and applications they support. The CODM allocates resources and evaluates the performance of each operating segment primarily based on operating income and operating income as a percentage of revenue. In connection with the Business Combination, in the fourth quarter of fiscal 2015 we renamed our Cellular Products Group (CPG) operating segment as MP and our Multi-Market Products Group (MPG) operating segment as IDP. Additionally, the CODM elected to discontinue reporting Compound Semiconductor Group (CSG) as an operating segment (see Note 16 of the Notes to the Consolidated Financial Statements in Part II, Item 8 of this report for additional information regarding our operating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Management Summary</w:t>
      </w:r>
    </w:p>
    <w:p>
      <w:pPr>
        <w:spacing w:after="0" w:line="225" w:lineRule="exact"/>
        <w:rPr>
          <w:sz w:val="20"/>
          <w:szCs w:val="20"/>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revenue increased 49.0% in fiscal 2015 to $1,711.0 million as compared to $1,148.2 million in fiscal 2014. Approximately $259.5 million of this increase relates to the inclusion of TriQuint revenue for the Post-Combination Period. The remaining increase is primarily due to increased demand for our cellular RF solutions for smartphones.</w:t>
      </w:r>
    </w:p>
    <w:p>
      <w:pPr>
        <w:spacing w:after="0" w:line="181"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gross margin for fiscal 2015 increased to 40.3% as compared to 35.3% for fiscal 2014. This increase was primarily due to a favorable change in product mix towards higher margin products and manufacturing- and sourcing-related cost reductions. The increase was partially offset by costs related to the Business Combination (including intangible amortization and inventory step-up), and price erosion on the average selling prices of our products.</w:t>
      </w:r>
    </w:p>
    <w:p>
      <w:pPr>
        <w:spacing w:after="0" w:line="186" w:lineRule="exact"/>
        <w:rPr>
          <w:rFonts w:ascii="Arial" w:cs="Arial" w:eastAsia="Arial" w:hAnsi="Arial"/>
          <w:sz w:val="18"/>
          <w:szCs w:val="18"/>
          <w:color w:val="auto"/>
        </w:rPr>
      </w:pPr>
    </w:p>
    <w:p>
      <w:pPr>
        <w:ind w:left="660" w:right="400" w:hanging="328"/>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operating income was $122.5 million in fiscal 2015 as compared to $27.3 million in fiscal 2014. This increase was primarily due to higher revenue and improved gross margin, which was partially offset by costs related to the Business Combination (including intangible amortization, inventory step-up, stock-based compensation related to the Business Combination, integration, acquisition and restructuring expenses).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net income per diluted share was $2.11 for fiscal 2015 compared to $0.18 for fiscal 2014.</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$305.6 million for fiscal 2015 as compared to $130.8 million for fiscal 2014. This year-over-year increase was primarily attributable to improved profitability resulting from higher revenue.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totaled $169.9 million in fiscal 2015 as compared to $66.8 million in fiscal 2014, primarily due to the addition of manufacturing capacity.</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fiscal 2015, our 1.00% Convertible Subordinated Notes due 2014 (the "2014 Notes") became due and we paid the remaining principal balance of $87.5 million plus interest of $0.4 million with cash on hand.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fiscal 2015, we repurchased approximately 0.8 million shares of our common stock for approximately $50.9 million.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fiscal 2015, we recorded merger-related expenses, integration costs and restructuring expenses totaling $54.4 million related to the Business Combination, which was completed on January 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for fiscal years 2015, 2014 and 2013:</w:t>
      </w: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2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gridSpan w:val="3"/>
            <w:vMerge w:val="restart"/>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Dollars</w:t>
            </w:r>
          </w:p>
        </w:tc>
        <w:tc>
          <w:tcPr>
            <w:tcW w:w="114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shd w:val="clear" w:color="auto" w:fill="CCEEFF"/>
          </w:tcPr>
          <w:p>
            <w:pPr>
              <w:spacing w:after="0"/>
              <w:rPr>
                <w:sz w:val="13"/>
                <w:szCs w:val="13"/>
                <w:color w:val="auto"/>
              </w:rPr>
            </w:pPr>
          </w:p>
        </w:tc>
        <w:tc>
          <w:tcPr>
            <w:tcW w:w="1360" w:type="dxa"/>
            <w:vAlign w:val="bottom"/>
            <w:gridSpan w:val="3"/>
            <w:vMerge w:val="restart"/>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Dollars</w:t>
            </w:r>
          </w:p>
        </w:tc>
        <w:tc>
          <w:tcPr>
            <w:tcW w:w="1160" w:type="dxa"/>
            <w:vAlign w:val="bottom"/>
            <w:gridSpan w:val="2"/>
            <w:shd w:val="clear" w:color="auto" w:fill="CCEEFF"/>
          </w:tcPr>
          <w:p>
            <w:pPr>
              <w:jc w:val="center"/>
              <w:ind w:right="3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shd w:val="clear" w:color="auto" w:fill="CCEEFF"/>
          </w:tcPr>
          <w:p>
            <w:pPr>
              <w:spacing w:after="0"/>
              <w:rPr>
                <w:sz w:val="13"/>
                <w:szCs w:val="13"/>
                <w:color w:val="auto"/>
              </w:rPr>
            </w:pPr>
          </w:p>
        </w:tc>
        <w:tc>
          <w:tcPr>
            <w:tcW w:w="1400" w:type="dxa"/>
            <w:vAlign w:val="bottom"/>
            <w:gridSpan w:val="3"/>
            <w:vMerge w:val="restart"/>
            <w:shd w:val="clear" w:color="auto" w:fill="CCEEFF"/>
          </w:tcPr>
          <w:p>
            <w:pPr>
              <w:jc w:val="right"/>
              <w:ind w:right="800"/>
              <w:spacing w:after="0"/>
              <w:rPr>
                <w:sz w:val="20"/>
                <w:szCs w:val="20"/>
                <w:color w:val="auto"/>
              </w:rPr>
            </w:pPr>
            <w:r>
              <w:rPr>
                <w:rFonts w:ascii="Arial" w:cs="Arial" w:eastAsia="Arial" w:hAnsi="Arial"/>
                <w:sz w:val="14"/>
                <w:szCs w:val="14"/>
                <w:b w:val="1"/>
                <w:bCs w:val="1"/>
                <w:color w:val="auto"/>
              </w:rPr>
              <w:t>Dollars</w:t>
            </w:r>
          </w:p>
        </w:tc>
        <w:tc>
          <w:tcPr>
            <w:tcW w:w="1080" w:type="dxa"/>
            <w:vAlign w:val="bottom"/>
            <w:shd w:val="clear" w:color="auto" w:fill="CCEEFF"/>
          </w:tcPr>
          <w:p>
            <w:pPr>
              <w:jc w:val="right"/>
              <w:ind w:right="43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9"/>
              </w:rPr>
              <w:t>Revenue</w:t>
            </w:r>
          </w:p>
        </w:tc>
        <w:tc>
          <w:tcPr>
            <w:tcW w:w="28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11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Revenue</w:t>
            </w:r>
          </w:p>
        </w:tc>
        <w:tc>
          <w:tcPr>
            <w:tcW w:w="260" w:type="dxa"/>
            <w:vAlign w:val="bottom"/>
            <w:shd w:val="clear" w:color="auto" w:fill="CCEEFF"/>
          </w:tcPr>
          <w:p>
            <w:pPr>
              <w:spacing w:after="0"/>
              <w:rPr>
                <w:sz w:val="16"/>
                <w:szCs w:val="16"/>
                <w:color w:val="auto"/>
              </w:rPr>
            </w:pPr>
          </w:p>
        </w:tc>
        <w:tc>
          <w:tcPr>
            <w:tcW w:w="1400" w:type="dxa"/>
            <w:vAlign w:val="bottom"/>
            <w:gridSpan w:val="3"/>
            <w:vMerge w:val="continue"/>
            <w:shd w:val="clear" w:color="auto" w:fill="CCEEFF"/>
          </w:tcPr>
          <w:p>
            <w:pPr>
              <w:spacing w:after="0"/>
              <w:rPr>
                <w:sz w:val="16"/>
                <w:szCs w:val="16"/>
                <w:color w:val="auto"/>
              </w:rPr>
            </w:pPr>
          </w:p>
        </w:tc>
        <w:tc>
          <w:tcPr>
            <w:tcW w:w="108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2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1,710,966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1,148,231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964,147</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1,021,658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743,304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658,332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7"/>
        </w:trPr>
        <w:tc>
          <w:tcPr>
            <w:tcW w:w="2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689,308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404,927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305,815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178,793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276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164,657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74,672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68,674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76,732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276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2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9,786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122,466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overall revenue increased $562.7 million, or 49.0%, in fiscal 2015 as compared to fiscal 2014. Approximately $259.5 million of this increase relates to the inclusion of TriQuint revenue for the Post-Combination period. The remaining increase was primarily due to increased demand for our cellular RF solutions for smartphones.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overall revenue increased $184.1 million, or 19.1%, in fiscal 2014 as compared to fiscal 2013. Fiscal 2014 reflected increased demand for our cellular RF solutions for smartphones and our WiFi products.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sold our products to our largest end customer through multiple contract manufacturers, which in the aggregate, accounted for approximately 32%, 20% and 9% of total revenue in fiscal years 2015, 2014 and 2013, respectively. Samsung Electronics, Co., Ltd. (Samsung), accounted for approximately 14%, 25% and 22% of our total revenue in fiscal years 2015, 2014 and 2013, respectively. The majority of the revenue from these customers was from our mobile product sales. No other customer accounted for more than 10% of our total revenue.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International shipments amounted to $1,395.2 million in fiscal 2015 (approximately 82% of revenue) compared to $805.4 million in fiscal 2014 (approximately 70% of revenue) and $667.7 million in fiscal 2013 (approximately 69% of revenue). Shipments to Asia totaled $1,282.2 million in fiscal 2015</w:t>
      </w:r>
    </w:p>
    <w:p>
      <w:pPr>
        <w:ind w:right="40"/>
        <w:spacing w:after="0" w:line="261" w:lineRule="auto"/>
        <w:rPr>
          <w:sz w:val="20"/>
          <w:szCs w:val="20"/>
          <w:color w:val="auto"/>
        </w:rPr>
      </w:pPr>
      <w:r>
        <w:rPr>
          <w:rFonts w:ascii="Arial" w:cs="Arial" w:eastAsia="Arial" w:hAnsi="Arial"/>
          <w:sz w:val="18"/>
          <w:szCs w:val="18"/>
          <w:color w:val="auto"/>
        </w:rPr>
        <w:t>(approximately 75% of revenue) compared to $756.1 million in fiscal 2014 (approximately 66% of revenue) and $603.6 million in fiscal 2013 (approximately 63% of revenue).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overall gross margin for fiscal 2015 increased to 40.3% as compared to 35.3% in fiscal 2014. This increase was primarily due to a favorable change in product mix towards higher margin products and manufacturing- and sourcing-related cost reductions. The increase was partially offset by costs related to the Business Combination (including intangible amortization and inventory step-up), and average selling price erosion.</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overall gross margin for fiscal 2014 increased to 35.3% as compared to 31.7% in fiscal 2013. This increase was primarily due to manufacturing- and sourcing-related cost reductions and increased demand, which were partially offset by average selling price erosion.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fiscal 2015, research and development expenses increased $60.2 million, or 30.5%, compared to fiscal 2014, primarily due to the inclusion of TriQuint research and development expenses for the Post-Combination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fiscal 2014, research and development expenses increased $18.5 million, or 10.3%, compared to fiscal 2013, primarily due to increased personnel expenses associated with both new product development for 3G/4G mobile devices and our investment in CMOS PAs.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fiscal 2015, marketing and selling expenses increased $90.0 million, or 120.5%, compared to fiscal 2014, primarily due to the inclusion of TriQuint marketing and selling expenses for the Post-Combination Period.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2014, marketing and selling expenses increased $6.0 million, or 8.7%, compared to fiscal 2013, primarily due to increased salaries and commission expenses in support of our customer diversification efforts and in support of our new products for 3G/4G mobile devices.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fiscal 2015, general and administrative expenses increased $8.5 million, or 11.1%, compared to fiscal 2014. The inclusion of TriQuint general and administrative expenses for the Post-Combination Period accounted for an increase of approximately $22.9 million. This increase was partially offset by decreased consulting expenses and IP-related legal expenses as compared to fiscal 2014.</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fiscal 2014, general and administrative expenses increased $12.5 million, or 19.4%, compared to fiscal 2013 primarily due to increased consulting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fiscal 2015, other operating expenses increased $30.5 million compared to fiscal 2014. In fiscal 2015 we recorded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acquisition costs of $12.2 million, integration costs of $31.3 million, and restructuring costs of $10.9 million associated with the Business Combination.</w:t>
      </w:r>
    </w:p>
    <w:p>
      <w:pPr>
        <w:spacing w:after="0" w:line="22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fiscal 2014, other operating expenses increased $19.1 million compared to fiscal 2013, primarily due to an impairment of in-process research and development (IPRD), restructuring expenses associated with achieving both manufacturing efficiencies and operating cost reductions, merger-related expenses and integration costs associated with the Business Combination, and expenses related to the phase out of manufacturing and sale of our U.K.-based GaAs facility. These increases were partially offset by the loss realized on the transfer of our molecular beam epitaxy ("MBE") wafer growth operations to IQE, Inc. ("IQE") as well as acquisition-related expenses associated with the acquisition of Amalfi Semiconductor, Inc. ("Amalfi") during fiscal 2013.</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30"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overall operating income was $122.5 million for fiscal 2015 as compared to $27.3 million for fiscal 2014. This increase in operating income was primarily due to higher revenue and improved gross margin, which were partially offset by costs related to the Business Combination (including intangible amortization expense of the acquired intangible assets, inventory step-up, stock-based compensation related to the Business Combination, integration, acquisition and restructuring expenses totaling approximately $274.5 million).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overall operating income was $27.3 million for fiscal 2014 as compared to an operating loss of $15.7 million for fiscal 2013. This increase in operating income was primarily due to higher revenue and improved gross margin, which were partially offset by increased personnel expenses, an impairment of IPRD, increased consulting expenses, restructuring expenses associated with achieving both manufacturing efficiencies and operating expense reductions, and merger-related expenses associated with the Business Combination, and expenses related to the phase out of manufacturing and sale of our U.K.-based GaAs facility. During fiscal 2013, other operating expenses included a $5.0 million loss realized on the transfer of our MBE wafer growth operations to IQE as well as expenses related to the purchase of Amalfi.</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71"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Fiscal Year</w:t>
      </w:r>
    </w:p>
    <w:p>
      <w:pPr>
        <w:spacing w:after="0" w:line="34" w:lineRule="exact"/>
        <w:rPr>
          <w:sz w:val="20"/>
          <w:szCs w:val="20"/>
          <w:color w:val="auto"/>
        </w:rPr>
      </w:pPr>
    </w:p>
    <w:tbl>
      <w:tblPr>
        <w:tblLayout w:type="fixed"/>
        <w:tblInd w:w="260" w:type="dxa"/>
        <w:tblCellMar>
          <w:top w:w="0" w:type="dxa"/>
          <w:left w:w="0" w:type="dxa"/>
          <w:bottom w:w="0" w:type="dxa"/>
          <w:right w:w="0" w:type="dxa"/>
        </w:tblCellMar>
      </w:tblPr>
      <w:tr>
        <w:trPr>
          <w:trHeight w:val="284"/>
        </w:trPr>
        <w:tc>
          <w:tcPr>
            <w:tcW w:w="55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(In thousands, except percentages)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1,395,035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935,313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761,425</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404,382</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109,862</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52,574</w:t>
            </w:r>
          </w:p>
        </w:tc>
      </w:tr>
      <w:tr>
        <w:trPr>
          <w:trHeight w:val="27"/>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MP revenue increased $459.7 million, or 49.2%, in fiscal 2015 as compared to fiscal 2014. Approximately $174.0 million of this increase relates to the inclusion of TriQuint revenue for the Post-Combination Period. The remaining increase is primarily due to increased demand for our cellular RF solutions for smartphones.</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MP operating income increased $294.5 million, or 268.1%, in fiscal 2015 as compared to fiscal 2014, primarily due to higher revenue and improved gross margin resulting from a favorable change in product mix towards higher margin products and manufacturing- and sourcing-related cost reductions, which were partially offset by average selling price erosion.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MP revenue increased $173.9 million, or 22.8%, in fiscal 2014 as compared to fiscal 2013, primarily due to increased demand for our cellular RF solutions and smartphones.</w:t>
      </w:r>
    </w:p>
    <w:p>
      <w:pPr>
        <w:spacing w:after="0" w:line="17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MP operating income increased $57.3 million, or 109.0%, in fiscal 2014 as compared to fiscal 2013, primarily due to higher revenue and improved gross margin (resulting from manufacturing and sourcing-related cost reductions, partially offset by average selling price erosion) which was partially offset by increased personnel expenses associated with new product development for 3G/4G mobile devices and our investment in CMOS PAs.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71"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Fiscal Year</w:t>
      </w:r>
    </w:p>
    <w:p>
      <w:pPr>
        <w:spacing w:after="0" w:line="34" w:lineRule="exact"/>
        <w:rPr>
          <w:sz w:val="20"/>
          <w:szCs w:val="20"/>
          <w:color w:val="auto"/>
        </w:rPr>
      </w:pPr>
    </w:p>
    <w:tbl>
      <w:tblPr>
        <w:tblLayout w:type="fixed"/>
        <w:tblInd w:w="260" w:type="dxa"/>
        <w:tblCellMar>
          <w:top w:w="0" w:type="dxa"/>
          <w:left w:w="0" w:type="dxa"/>
          <w:bottom w:w="0" w:type="dxa"/>
          <w:right w:w="0" w:type="dxa"/>
        </w:tblCellMar>
      </w:tblPr>
      <w:tr>
        <w:trPr>
          <w:trHeight w:val="284"/>
        </w:trPr>
        <w:tc>
          <w:tcPr>
            <w:tcW w:w="56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(In thousands, except percentages)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313,274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212,897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202,722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72,262</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32,315</w:t>
            </w:r>
          </w:p>
        </w:tc>
        <w:tc>
          <w:tcPr>
            <w:tcW w:w="2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11,181</w:t>
            </w:r>
          </w:p>
        </w:tc>
      </w:tr>
      <w:tr>
        <w:trPr>
          <w:trHeight w:val="27"/>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IDP revenue increased $100.4 million, or 47.1%, in fiscal 2015 as compared to fiscal 2014. Approximately $85.5 million of this increase relates to the inclusion of TriQuint revenue for the Post-Combination Period. The remaining increase is primarily due to increased demand for our wireless infrastructure products.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IDP operating income increased $39.9 million, or 123.6%, in fiscal 2015 as compared to fiscal 2014, primarily due to improved gross margin resulting from manufacturing and sourcing-related cost reductions and a favorable shift in product mix towards higher margin wireless infrastructure products, which was partially offset by average selling price erosion.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IDP revenue increased $10.2 million, or 5.0%, in fiscal 2014 as compared to fiscal 2013, primarily due to increased demand for our WiFi products.</w:t>
      </w:r>
    </w:p>
    <w:p>
      <w:pPr>
        <w:spacing w:after="0" w:line="237"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IDP operating income increased $21.1 million, or 189.0%, in fiscal 2014 as compared to fiscal 2013, primarily due to improved gross margin resulting from manufacturing- and sourcing-related cost reductions and increased revenue, which was partially offset by average selling price erosion.</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See Note 16 of the Notes to the Consolidated Financial Statements in Part II, Item 8 of this report for a reconciliation of segment operating income (loss) to the consolidated operating income (loss) for fiscal years 2015,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17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Fiscal Year</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37"/>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(5,983)</w:t>
            </w:r>
          </w:p>
        </w:tc>
        <w:tc>
          <w:tcPr>
            <w:tcW w:w="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(6,532)</w:t>
            </w: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Loss on retirement of convertible subordinated notes</w:t>
            </w:r>
          </w:p>
        </w:tc>
        <w:tc>
          <w:tcPr>
            <w:tcW w:w="2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2,336</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(11,231)</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expense has decreased as a result of lower debt balances. Our 2014 Notes became due on April 15, 2014 and the remaining principal balance of $87.5 million plus interest of $0.4 million was paid with cash on hand. During the first quarter of fiscal 2013, our 0.75% Convertible Subordinated Notes due 2012 became due and we paid the remaining principal balance of $26.5 million. During fiscal 2013, we purchased and retired $47.4 million original principal amount of our 2014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the retirement of convertible subordinated notes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remaining principal balance of our 2014 Notes was retired in the first quarter of fiscal 2015. During fiscal 2014, we did not purchase and retire any of our 2014 Notes. During fiscal 2013, we purchased and retired $47.4 million original principal amount of our 2014 Notes for an average price of $98.34, which resulted in a loss of $2.8 million as a result of applying Financial Accounting Standards Board ("FASB") Accounting Standards Codification ("ASC") 470-20.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fiscal 2015, we incurred a foreign currency loss of $0.2 million as compared to a gain of $0.2 million in fiscal 2014 and a loss of $1.2 million in fiscal 2013. The foreign currency loss for fiscal 2015 was driven by the changes in the local currency denominated balance sheet accounts, the appreciation of the U.S dollar against the British Pound and Euro, and the depreciation of the U.S dollar against the Renminbi. The foreign currency loss for fiscal 2013 was driven by the changes in the local currency denominated balance sheet accounts, the appreciation of the U.S dollar against the British Pound and Euro, and the depreciation of the U.S. dollar against the Renminbi. Additionally, during fiscal 2014, we recognized a $2.1 million gain on an equity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Income tax benefit for fiscal 2015 was $75.1 million, which is primarily comprised of tax expense related to domestic and international operations offset by a tax benefit of $135.8 million related to a decrease in the valuation allowance against domestic deferred tax assets. Realization of substantially all of the domestic deferred tax assets is now more likely than not with the addition of the domestic deferred tax liabilities arising from amortizable intangible assets in connection with the Business Combination. For fiscal 2015, this resulted in an annual effective tax rate of (61.9%).</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30"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comparison, income tax expense for fiscal 2014 was $11.2 million, which was primarily comprised of tax expense related to international operations. For fiscal 2014, this resulted in an annual effective tax rate of 47.05%.</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Income tax expense for fiscal 2013 was $27.1 million, which was primarily comprised of tax expense related to international operations, a $1.3 million reduction in U.K. net deferred tax assets due to a decrease in the U.K. tax rate, and a $12.0 million increase in the valuation allowance against U.K. net deferred tax assets in connection with the phase out of manufacturing operations at the Newton Aycliffe, U.K. facility. For fiscal 2013, this resulted in an annual effective tax rate of (104.64%).</w:t>
      </w:r>
    </w:p>
    <w:p>
      <w:pPr>
        <w:spacing w:after="0" w:line="14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tax deferred assets exist. The realizability of these deferred tax assets is reevaluated on a quarterly basis. As of the end of fiscal years 2013, 2014 and 2015, the valuation allowance against domestic and foreign deferred tax assets was $164.2 million, $143.3 million, and $13.8 million, respectively.</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valuation allowance against net deferred tax assets increased in fiscal 2013 by $51.5 million from the $112.7 million balance as of the end of fiscal 2012. The increase was comprised of $12.0 million established during the fiscal year related to the U.K. net deferred tax assets, $10.8 million related to the Amalfi acquisition, and a $28.7 million increase related to other changes in domestic net deferred tax assets during the fiscal year. The U.K. valuation allowance was recorded as a result of the decision, announced in March 2013, to phase out manufacturing at the U.K. facility. Consequently, we determined that this represented significant negative evidence, and that it was no longer “more likely than not” that any U.K. deferred tax assets remaining at the end of fiscal 2014 would ultimately be realized.</w:t>
      </w:r>
    </w:p>
    <w:p>
      <w:pPr>
        <w:spacing w:after="0" w:line="15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valuation allowance against net deferred tax assets decreased in fiscal 2014 by $20.9 million. The decrease was comprised of the reversal of the $12.0 million U.K. valuation allowance established during fiscal 2013 and $15.1 million related to deferred tax assets used against deferred intercompany profits, offset by increases related to a $3.4 million adjustment in the net operating losses acquired in the Amalfi acquisition and $2.8 million for other changes in net deferred tax assets for domestic and other foreign subsidiaries during the fiscal year. The U.K. valuation allowance was reversed in connection with the sale of the U.K. manufacturing facility in fiscal 2014 and the write-off of the remaining U.K. deferred tax assets.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valuation allowance against net deferred tax assets decreased in fiscal 2015 by $129.5 million. The decrease was comprised of $135.7 million for domestic deferred tax assets for which realization is now more likely than not with the increase in domestic deferred tax liabilities related to domestic amortizable intangible assets arising in connection with the Business Combination and other changes in the net deferred tax assets for foreign subsidiaries during the fiscal year, offset by an increase of $6.2 million related to deferred tax assets acquired in the Business Combination which are not more likely than not of being realized. At the end of fiscal 2015, a $0.2 million valuation allowance remained against foreign net deferred tax assets and a $13.6 million valuation allowance remained against domestic deferred tax assets as it is more likely than not that the related deferred tax assets will not be realized, effectively increasing the domestic net deferred tax liabilities.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28, 2015, we had federal loss carryovers of approximately $202.3 million that expire in fiscal years 2016 to 2035 if unused and state losses of approximately $184.9 million that expire in fiscal years 2016 to 2035 if unused. Federal research credits of $79.9 million, federal foreign tax credits of $1.7 million, and state credits of $45.9 million may expire in fiscal years 2018 to 2035, 2016 to 2035, and 2016 to 2030, respectively. Federal alternative minimum tax credits of $3.2 million carry forward indefinitely. Included in the amounts above are certain net operating losses and other tax attribute assets acquired in conjunction with acquisitions in prior years. The utilization of these acquired domestic tax assets is subject to certain annual limitations as required under Internal Revenue Code Section 382 and similar state income tax provisions.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gross unrecognized tax benefits totaled $37.9 million as of March 30, 2013, $39.4 million as of March 29, 2014, and $59.4 million as of March 28, 2015. Of these amounts, $29.7 million (net of federal benefit of state taxes), $30.9 million (net of federal benefit of state taxes), and $55.0 million (net of federal benefit of state taxes) as of March 30, 2013, March 29, 2014, and March 28, 2015, respectively, represent the amounts of unrecognized tax benefits that, if recognized, would impact the effective tax rate in each of the fiscal years. It is our policy to recognize interest and penalties related to uncertain tax positions as a component of income tax expense. As of March 28, 2015 accrued interest and penalties related to unrecognized tax benefits totaled $3.4 million, of which $1.2 million was recognized in fiscal 2015. A minimal amount included in the balance of gross unrecognized tax benefits at March 28, 2015, which is related to tax positions for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30"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which it is reasonably possible that the total amounts could significantly change in the next 12 months. This amount represents a potential decrease in gross unrecognized tax benefits related to reductions for tax positions in prior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 xml:space="preserve">Under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28, 2015, total remaining unearned compensation cost related to nonvested restricted stock units and options was $153.0 million, which will be amortized over the weighted-average remaining service period of approximately 1.3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funded our operations to date through revenue from product sales, sales of equity and debt securities, bank borrowings and capital equipment leases. As of March 28, 2015, we had working capital of approximately $1,174.8 million, including $299.8 million in cash and cash equivalents, compared to working capital at March 29, 2014, of $317.4 million, including $171.9 million in cash and cash equivalents. Working capital increased primarily due to improved profitability and $224.3 million in cash received from TriQuint in the Business Combination.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total cash, cash equivalents and short-term investments were $544.6 million as of March 28, 2015. This balance includes approximately $145.5 million held by our foreign subsidiaries. If these funds held by our foreign subsidiaries are needed for our operations in the U.S., we would be required to accrue and pay U.S. taxes to repatriate these funds. We currently expect to reinvest these funds outside of the U.S. permanently and do not expect to repatriate them to fund our U.S.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February 5, 2015, our Board of Directors authorized the repurchase of up to $200 million of our outstanding shares of common stock, exclusive of related fees, commissions or other expenses. Repurchases may be made at management’s discretion from time to time on the open market or in privately negotiated transactions, and the program may be discontinued at any time. During the fourth quarter of fiscal 2015, we repurchased approximately 0.8 million shares of our common stock at an average price of $65.87 on the open market for approximately $50.0 million, including transaction costs. As of March 28, 2015, approximately $150.0 million remains available for repurchase under this program.</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Business Combination, each share of RFMD common stock was converted into the right to receive 0.25 of a share of Qorvo common stock plus cash in lieu of fractional shares, and each share of TriQuint common stock was converted into the right to receive 0.4187 of a share of Qorvo common stock plus cash in lieu of fractional shares. Approximately 13,160 fractional shares were repurchased for $0.9 million.</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Prior to the Business Combination, RFMD had a share repurchase program under which RFMD was authorized to repurchase up to $200 million of RFMD's outstanding shares of common stock. Under this program and denominated in shares of Qorvo common stock, during fiscal 2014, we repurchased approximately 0.6 million shares of our common stock at an average price of $20.12 on the open market for approximately $12.8 million including transaction costs, and during fiscal 2013, we repurchased approximately 0.5 million shares of our common stock at an average price of $15.00 on the open market for approximately $7.0 million including transaction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Operating activities in fiscal 2015 provided cash of $305.6 million, compared to $130.8 million in fiscal 2014. This year-over-year increase was primarily attributable to improved profitability resulting from manufacturing- and sourcing-related cost reductions as well as higher revenue.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30" w:right="29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investing activities in fiscal 2015 was $63.9 million compared to $57.0 million in fiscal 2014. The Business Combination accounted for an increase in cash provided by investing activities of approximately $224.3 million. This increase was offset by an increase in net purchases of available-for-sale securities as well as increased purchases of property and equipment in fiscal 2015 as compared to fiscal 2014 primarily to fund additional manufacturing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Net cash used in financing activities in fiscal 2015 was $112.9 million compared to $4.2 million in fiscal 2014. Net cash used in financing activities was higher during fiscal 2015 as we paid the $87.5 million remaining principal balance of the 2014 Notes. In addition, during fiscal 2015, we repurchased approximately 0.8 million shares of our common stock at an average price of $65.87 on the open market for a total of $50.0 million plus we repurchased fractional shares in connection with the Business Combination for $0.9 million.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capital requirements may differ materially from those currently anticipated and will depend on many factors, including, but not limited to, market acceptance of our products, volume pricing concessions, capital improvements, demand for our products,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do not believe that the effects of inflation had a significant impact on our revenue or income from continuing operations during fiscal years 2015, 2014 and 2013. Our financial results in fiscal 2016 could be adversely affected by wage and commodity price inflation (including precious metals).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2015, we had no off-balance sheet arrangements as defined in Item 303(a)(4)(ii) of SEC Regulation S-K.</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March 28, 2015, and the effect such obligations are expected to have on our liquidity and cash flows in future periods.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More than</w:t>
            </w:r>
          </w:p>
        </w:tc>
      </w:tr>
      <w:tr>
        <w:trPr>
          <w:trHeight w:val="243"/>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Payments</w:t>
            </w: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5 years</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16,734</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Cross-licensing liability</w:t>
            </w: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5,400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339,336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271,258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23,217</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80"/>
          </w:cols>
          <w:pgMar w:left="240" w:top="130"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28, 2015, we had capital commitments of approximately $124.1 million, primarily related to projects for increasing manufacturing capacity, as well as for equipment replacements, equipment for process improvements and general corporate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lease certain of our corporate, wafer fabrication and other facilities from multiple third-party real estate developers. The remaining terms of these operating leases range from approximately one year to 13 years. Several have renewal options of up to two ten-year periods and several also include standard inflation escalation terms. Several also include rent escalation, rent holidays and leasehold improvement incentives,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We also lease various machinery and equipment and office equipment under non-cancelable operating leases. The remaining terms of these operating leases range from less than one year to approximately three years. As of March 28, 2015, the total future minimum lease payments were approximately $59.8 million related to facility operating leases and approximately $0.1 million related to equipment operating leases.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purchase obligations, totaling approximately $128.2 million, are primarily for the purchase of raw materials and manufacturing services that are not recorded as liabilities on our balance sheet because we have not yet received the related goods or services as of March 28,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Cross-Licensing Agreements</w:t>
      </w:r>
    </w:p>
    <w:p>
      <w:pPr>
        <w:spacing w:after="0" w:line="15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cross-licensing liability represents payables under a cross-licensing agreement which are included in "Accrued liabilities" and "Other long-term liabilities" on the Consolidated Balance Sheet as of March 28,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Commitments for deferred compensation represents the liability for our Non-Qualified Deferred Compensation Plan (the "Plan"). The Plan provides eligible employees and members of the Board of Directors with the opportunity to defer a specified percentage of their cash compensation. The deferred earnings are invested at the discretion of each participating employee or director and the deferred compensation we are obligated to deliver is adjusted for increases or decreases in the deferred amount due to such investment. The current portion and non-current portion of the deferred compensation obligation is included in "Accrued liabilities" and "Other long-term liabilities" in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Obligations</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 of March 28, 2015, in addition to the amounts shown in the Contractual Obligations table above, we have $62.8 million of unrecognized income tax benefits and accrued interest, of which $11.6 million has been recorded as a liability. We are uncertain as to if, or when, such amounts may be settled.</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discussed in Note 9 of the Notes to the Consolidated Financial Statements in Part II, Item 8 of this report, we have two pension plans in Germany with a combined benefit obligation of approximately $12.2 million as of March 28, 2015. Pension benefit payments are not included in the schedule above as they are not available for all periods presented. Pension benefit payments were less than $0.5 million in fiscal 2015 and are expected to be consistent in fiscal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March 2013, RFMD and certain material domestic subsidiaries of RFMD entered into a four-year senior credit facility with Bank of America, N.A., as Administrative Agent and a lender, and a syndicate of other lenders (the "Credit Facility"). On March 26, 2015, RFMD terminated its Credit Facility in anticipation of Qorvo entering into a new, larger revolving credit facility which Qorvo entered into on April 7, 2015 (see Note 18). No borrowings were ever made under the Credit Facility and no early termination penalty was incurred by RFMD in connection with such termination.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the Consolidated Financial Statements in Part II, Item 8 of this report).</w:t>
      </w:r>
    </w:p>
    <w:p>
      <w:pPr>
        <w:spacing w:after="0" w:line="189"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b w:val="1"/>
          <w:bCs w:val="1"/>
          <w:i w:val="1"/>
          <w:iCs w:val="1"/>
          <w:color w:val="auto"/>
        </w:rPr>
        <w:t xml:space="preserve">Inventory Reserves. </w:t>
      </w:r>
      <w:r>
        <w:rPr>
          <w:rFonts w:ascii="Arial" w:cs="Arial" w:eastAsia="Arial" w:hAnsi="Arial"/>
          <w:sz w:val="17"/>
          <w:szCs w:val="17"/>
          <w:color w:val="auto"/>
        </w:rPr>
        <w:t>The valuation of inventory requires us to estimate obsolete or excess inventory. The determination of obsolete or excess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178"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 1% or lower impact on margins in fiscal years 2015, 2014 and 2013.</w:t>
      </w:r>
    </w:p>
    <w:p>
      <w:pPr>
        <w:spacing w:after="0" w:line="170"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Net revenue is generated principally from sales of semiconductor products. We recognize revenue from product sales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47" w:lineRule="exact"/>
        <w:rPr>
          <w:sz w:val="20"/>
          <w:szCs w:val="20"/>
          <w:color w:val="auto"/>
        </w:rPr>
      </w:pPr>
    </w:p>
    <w:p>
      <w:pPr>
        <w:ind w:left="660" w:right="100"/>
        <w:spacing w:after="0" w:line="293" w:lineRule="auto"/>
        <w:rPr>
          <w:sz w:val="20"/>
          <w:szCs w:val="20"/>
          <w:color w:val="auto"/>
        </w:rPr>
      </w:pPr>
      <w:r>
        <w:rPr>
          <w:rFonts w:ascii="Arial" w:cs="Arial" w:eastAsia="Arial" w:hAnsi="Arial"/>
          <w:sz w:val="16"/>
          <w:szCs w:val="16"/>
          <w:color w:val="auto"/>
        </w:rPr>
        <w:t>Sales of products are generally made through either our sales force, manufacturers' representatives or through a distribution network. Revenue from the majority of our products is recognized upon shipment of the product to the customer from a Company-owned or third-party location. Some revenue is recognized upon receipt of the shipment by the customer. We have limited rebate programs offering price protection to certain distributors. These rebates represent less than 1% of net revenue and can be reasonably estimated based on specific criteria included in the rebate agreements and other known factors at the time. We reduce revenue and record reserves for product returns and allowances for price protection and stock rotation based on historical experience or specific identification depending on the contractual terms of the arrangement.</w:t>
      </w:r>
    </w:p>
    <w:p>
      <w:pPr>
        <w:spacing w:after="0" w:line="16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We also recognize a portion of our net revenue through other agreements such as non-recurring engineering fees, contracts for research and development work, royalty income, intellectual property (IP) revenue, and service revenue. These agreements are collectively less than 1% of consolidated revenue on an annual basis. Revenue from these agreements is recognized when the service is completed or upon certain milestones, as provided for in the agreements.</w:t>
      </w:r>
    </w:p>
    <w:p>
      <w:pPr>
        <w:spacing w:after="0" w:line="146" w:lineRule="exact"/>
        <w:rPr>
          <w:sz w:val="20"/>
          <w:szCs w:val="20"/>
          <w:color w:val="auto"/>
        </w:rPr>
      </w:pPr>
    </w:p>
    <w:p>
      <w:pPr>
        <w:jc w:val="both"/>
        <w:ind w:left="660" w:right="420"/>
        <w:spacing w:after="0" w:line="286" w:lineRule="auto"/>
        <w:rPr>
          <w:sz w:val="20"/>
          <w:szCs w:val="20"/>
          <w:color w:val="auto"/>
        </w:rPr>
      </w:pPr>
      <w:r>
        <w:rPr>
          <w:rFonts w:ascii="Arial" w:cs="Arial" w:eastAsia="Arial" w:hAnsi="Arial"/>
          <w:sz w:val="17"/>
          <w:szCs w:val="17"/>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18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In addition, we license or sell our rights to use portions of our IP portfolio, which includes certain patent rights useful in the manufacture and sales of certain products. IP revenue recognition is dependent on the terms of each agreement. We will recognize IP revenue (i) upon delivery of the IP and</w:t>
      </w:r>
    </w:p>
    <w:p>
      <w:pPr>
        <w:ind w:left="5620" w:right="60" w:hanging="4964"/>
        <w:spacing w:after="0" w:line="746" w:lineRule="auto"/>
        <w:tabs>
          <w:tab w:leader="none" w:pos="9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have no substantive future obligation to perform under the arrangement. We will defer recognition of IP revenue where future performance 43</w:t>
      </w:r>
    </w:p>
    <w:p>
      <w:pPr>
        <w:sectPr>
          <w:pgSz w:w="11900" w:h="16838" w:orient="portrait"/>
          <w:cols w:equalWidth="0" w:num="1">
            <w:col w:w="11400"/>
          </w:cols>
          <w:pgMar w:left="240" w:top="130"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obligations are required to earn the revenue or the revenue is not guaranteed. Revenue from services is recognized during the period that the service is performed.</w:t>
      </w:r>
    </w:p>
    <w:p>
      <w:pPr>
        <w:spacing w:after="0" w:line="130"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Accounts receivable are recorded for all revenue items listed above. We evaluate the collectability of accounts receivable based on a combination of factors. In cases where we are aware of circumstances that may impair a specific customer’s ability to meet its financial obligations subsequent to the original sale, we will record an allowance against amounts due, and thereby reduce the receivable to the amount we reasonably believe will be collected. For all other customers, we recognize allowances for doubtful accounts based on the length of time the receivables are past due, industry and geographic concentrations, the current business environment and the Company’s historical experience.</w:t>
      </w:r>
    </w:p>
    <w:p>
      <w:pPr>
        <w:spacing w:after="0" w:line="118" w:lineRule="exact"/>
        <w:rPr>
          <w:sz w:val="20"/>
          <w:szCs w:val="20"/>
          <w:color w:val="auto"/>
        </w:rPr>
      </w:pPr>
    </w:p>
    <w:p>
      <w:pPr>
        <w:jc w:val="both"/>
        <w:ind w:left="660" w:right="340"/>
        <w:spacing w:after="0" w:line="259" w:lineRule="auto"/>
        <w:rPr>
          <w:sz w:val="20"/>
          <w:szCs w:val="20"/>
          <w:color w:val="auto"/>
        </w:rPr>
      </w:pPr>
      <w:r>
        <w:rPr>
          <w:rFonts w:ascii="Arial" w:cs="Arial" w:eastAsia="Arial" w:hAnsi="Arial"/>
          <w:sz w:val="18"/>
          <w:szCs w:val="18"/>
          <w:color w:val="auto"/>
        </w:rPr>
        <w:t>Our terms and conditions do not give our customers a right of return associated with the original sale of its products. However, we will authorize sales returns under certain circumstances, which include perceived quality problems, courtesy returns and like-kind exchanges. We evaluate our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is recorded when the purchase price paid for a business exceeds the estimated fair value of the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tangible and intangible assets acquired. Intangibles are recorded when such assets are acquired by purchase or license. The value of our intangibles, including goodwill, could be impacted by future adverse changes such as: (i) any future declines in our operating results; (ii) a decline in the value of technology company stocks, including the value of our common stock; (iii) a prolonged or more significant slowdown in the worldwide economy or the semiconductor industry; or (iv) failure to meet the performance projections included in our forecasts of future operating results.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Intangible Assets with Indefinite Lives</w:t>
      </w:r>
    </w:p>
    <w:p>
      <w:pPr>
        <w:spacing w:after="0" w:line="225"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We account for goodwill and indefinite-lived intangible assets in accordance with the FASB's guidance, which requires that they be tested annually for impairment or earlier if facts and circumstances indicate that they may be impaired. We perform our annual impairment test for our goodwill and indefinite-lived intangible assets on the first day of the fourth quarter in each fiscal year. Our indefinite-lived intangible assets consist of IPRD.</w:t>
      </w:r>
    </w:p>
    <w:p>
      <w:pPr>
        <w:spacing w:after="0" w:line="147" w:lineRule="exact"/>
        <w:rPr>
          <w:sz w:val="20"/>
          <w:szCs w:val="20"/>
          <w:color w:val="auto"/>
        </w:rPr>
      </w:pPr>
    </w:p>
    <w:p>
      <w:pPr>
        <w:ind w:left="660" w:right="180"/>
        <w:spacing w:after="0" w:line="279" w:lineRule="auto"/>
        <w:rPr>
          <w:sz w:val="20"/>
          <w:szCs w:val="20"/>
          <w:color w:val="auto"/>
        </w:rPr>
      </w:pPr>
      <w:r>
        <w:rPr>
          <w:rFonts w:ascii="Arial" w:cs="Arial" w:eastAsia="Arial" w:hAnsi="Arial"/>
          <w:sz w:val="17"/>
          <w:szCs w:val="17"/>
          <w:color w:val="auto"/>
        </w:rPr>
        <w:t>For fiscal 2015, we have determined that our reporting units are MP and IDP for purposes of allocating and testing goodwill. In evaluating our reporting units we first consider our operating segments and related components in accordance with FASB guidance. Goodwill is allocated to our reporting units based on the expected benefit from the synergies of the business combinations generating the underlying goodwill. As of March 28, 2015, our goodwill balance of $2,140.6 million is allocated between our MP and IDP reporting units.</w:t>
      </w:r>
    </w:p>
    <w:p>
      <w:pPr>
        <w:spacing w:after="0" w:line="171"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We have the option to perform a qualitative assessment (commonly referred to as "step zero") to determine whether further quantitative analysis for impairment of goodwill or indefinite-lived intangible assets is necessary. In performing step zero for our impairment test, we are required to make assumptions and judgments including but not limited to, the following: the evaluation of macroeconomic conditions as related to our business; industry and market trends; and the overall future financial performance of our reporting units and future opportunities in the markets in which they operate. We also consider recent fair value calculations of our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we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 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our business strategy or our internal forecasts. Although we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believe the assumptions, judgments and estimates we have made have been reasonable and appropriate, different assumptions, judgments and estimates could materially affect our results of operations.</w:t>
      </w:r>
    </w:p>
    <w:p>
      <w:pPr>
        <w:spacing w:after="0" w:line="170"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We performed a step zero analysis for our goodwill impairment test in the fourth quarter of fiscal 2015. As a result of our analysis, no further quantitative impairment test was deemed necessary for fiscal 2015. There was no impairment of goodwill as a result of our annual impairment tests completed during the fourth quarters of fiscal years 2015, 2014 and 2013.</w:t>
      </w:r>
    </w:p>
    <w:p>
      <w:pPr>
        <w:spacing w:after="0" w:line="18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In fiscal 2015, as a result of the Business Combination, we recorded IPRD of $470.0 million. IPRD was recorded at fair value as of the date of acquisition as an indefinite-lived intangible asset until the completion or abandonment of the associated research and development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See Note 7 of the Notes to the Consolidated Financial Statements in Part II, Item 8 of this report for additional information regarding an impairment of assets recorded in the fourth quarter of fiscal 2014.</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technology licenses, customer relationships, developed technology, a wafer supply agreement, trade names and backlog resulting from business combinations and are subject to amortization.</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and 2015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jc w:val="both"/>
        <w:ind w:left="660" w:right="120"/>
        <w:spacing w:after="0" w:line="312" w:lineRule="auto"/>
        <w:rPr>
          <w:sz w:val="20"/>
          <w:szCs w:val="20"/>
          <w:color w:val="auto"/>
        </w:rPr>
      </w:pPr>
      <w:r>
        <w:rPr>
          <w:rFonts w:ascii="Arial" w:cs="Arial" w:eastAsia="Arial" w:hAnsi="Arial"/>
          <w:sz w:val="16"/>
          <w:szCs w:val="16"/>
          <w:color w:val="auto"/>
        </w:rPr>
        <w:t>The fair value of developed technology acquired during fiscal years 2013 and 2015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of four to six years.</w:t>
      </w:r>
    </w:p>
    <w:p>
      <w:pPr>
        <w:spacing w:after="0" w:line="147"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fair value of the wafer supply agreement was determined using the incremental income method, which is a discounted cash flow method within the income approach. Under this method, the fair value was estimated by discounting to present value the additional savings from expense reductions in operations at a discount rate to reflect the risk inherent in the wafer supply agreement as well as any tax benefits. The wafer supply agreement is amortized on a units of use activity method and has a useful life of approximately four years.</w:t>
      </w:r>
    </w:p>
    <w:p>
      <w:pPr>
        <w:spacing w:after="0" w:line="171"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The fair value of trade names acquired in fiscal 2015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three years.</w:t>
      </w:r>
    </w:p>
    <w:p>
      <w:pPr>
        <w:spacing w:after="0" w:line="18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fair value of backlog acquired in fiscal 2015 was determined based on an income approach using the "excess earnings method" and is amortized on a straight-line basis over the estimated useful life of one year.</w:t>
      </w:r>
    </w:p>
    <w:p>
      <w:pPr>
        <w:spacing w:after="0" w:line="170" w:lineRule="exact"/>
        <w:rPr>
          <w:sz w:val="20"/>
          <w:szCs w:val="20"/>
          <w:color w:val="auto"/>
        </w:rPr>
      </w:pPr>
    </w:p>
    <w:p>
      <w:pPr>
        <w:jc w:val="both"/>
        <w:ind w:left="660" w:right="320"/>
        <w:spacing w:after="0" w:line="302" w:lineRule="auto"/>
        <w:rPr>
          <w:sz w:val="20"/>
          <w:szCs w:val="20"/>
          <w:color w:val="auto"/>
        </w:rPr>
      </w:pPr>
      <w:r>
        <w:rPr>
          <w:rFonts w:ascii="Arial" w:cs="Arial" w:eastAsia="Arial" w:hAnsi="Arial"/>
          <w:sz w:val="16"/>
          <w:szCs w:val="16"/>
          <w:color w:val="auto"/>
        </w:rPr>
        <w:t>We regularly review identified intangible assets to determine if facts and circumstances indicate that the useful life is shorter than we originally estimated or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over the fair value of those assets and occur in the period in which the impairment determination was made.</w:t>
      </w:r>
    </w:p>
    <w:p>
      <w:pPr>
        <w:spacing w:after="0" w:line="225" w:lineRule="exact"/>
        <w:rPr>
          <w:sz w:val="20"/>
          <w:szCs w:val="20"/>
          <w:color w:val="auto"/>
        </w:rPr>
      </w:pPr>
    </w:p>
    <w:p>
      <w:pPr>
        <w:jc w:val="both"/>
        <w:ind w:left="660" w:right="100"/>
        <w:spacing w:after="0" w:line="312"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We review the carrying values of all long-lived assets whenever events or changes in circumstances indicate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carrying values may not be recoverable. Factors that we consider in deciding when to perform an impairment review include significant under-performance of a business, significant negative industry or economic trends, and significant changes or planned changes in our use of assets.</w:t>
      </w:r>
    </w:p>
    <w:p>
      <w:pPr>
        <w:spacing w:after="0" w:line="147"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In making impairment determinations for long-lived assets, we utilize certain assumptions, including but not limited to: (i) estimations and quoted market prices of the fair market value of the assets; and (ii) estimations of future cash flows expected to be generated by these assets, which are based on additional assumptions such as asset utilization, length of service that the asset will be used in our operations and estimated salvage values.</w:t>
      </w:r>
    </w:p>
    <w:p>
      <w:pPr>
        <w:spacing w:after="0" w:line="147"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cost is measured at the grant date, based on the estimated fair value of the award using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pricing model for stock options (Black-Scholes) and market price for restricted stock units, and is recognized as expense over the employee's requisite service period. The Black-Scholes option pricing model requires a number of assumptions, including the expected lives of stock options, the volatility of the public market price for our common stock and interest rates.</w:t>
      </w:r>
    </w:p>
    <w:p>
      <w:pPr>
        <w:spacing w:after="0" w:line="171" w:lineRule="exact"/>
        <w:rPr>
          <w:sz w:val="20"/>
          <w:szCs w:val="20"/>
          <w:color w:val="auto"/>
        </w:rPr>
      </w:pPr>
    </w:p>
    <w:p>
      <w:pPr>
        <w:ind w:left="660" w:right="4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As part of our financial process, we assess on a tax jurisdictional basis the likelihood that our deferred tax assets can be recovered. If recovery is not likely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12 of the Notes to the Consolidated Financial Statements in Part II, Item 8 of this report for additional information regarding changes in the valuation allowance and net deferred tax assets.</w:t>
      </w:r>
    </w:p>
    <w:p>
      <w:pPr>
        <w:spacing w:after="0" w:line="169"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As part of our financial process, we also assess the likelihood that our tax reporting positions will ultimately be sustained. To the extent it is determined it is more likely than not that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12 of the Notes to the Consolidated Financial Statements in Part II, Item 8 of this report for additional information regarding our uncertain tax positions and the amount of unrecognized tax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new authoritative guidance will become effective in the first quarter of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fiscal 2018, using one of two retrospective methods of adoption. The Company has not determined which method it will adopt and is currently evaluating the effects the new guidance will have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July 2013, the FASB issued ASU 2013-11, </w:t>
      </w:r>
      <w:r>
        <w:rPr>
          <w:rFonts w:ascii="Arial" w:cs="Arial" w:eastAsia="Arial" w:hAnsi="Arial"/>
          <w:sz w:val="18"/>
          <w:szCs w:val="18"/>
          <w:i w:val="1"/>
          <w:iCs w:val="1"/>
          <w:color w:val="auto"/>
        </w:rPr>
        <w:t>“Income Taxes (Topic 740): 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Carryforward, a Similar Tax Loss, or a Tax Credit Carryforward Exists.” </w:t>
      </w:r>
      <w:r>
        <w:rPr>
          <w:rFonts w:ascii="Arial" w:cs="Arial" w:eastAsia="Arial" w:hAnsi="Arial"/>
          <w:sz w:val="18"/>
          <w:szCs w:val="18"/>
          <w:color w:val="auto"/>
        </w:rPr>
        <w:t>ASU 2013-11 requires an unrecognized tax benefit, or a portion of an unrecognized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 to be presented in the financial statements as a reduction of a deferred tax asset or a tax credit carryforward, excluding certain exceptions. This ASU was effective for the Company beginning in the first quarter of fiscal 2015 and the adoption did not have a material impact on the Company's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exposed to financial market risks, including changes in interest rates, currency exchange rates and certain commodity prices. The overall objective of our financial risk management program is to seek a reduction in the potential negative earnings effects from changes in interest rates, foreign exchange rates and commodity prices arising from our business activities. We manage these financial exposures through operational means and by using various financial instruments. These practices may change as economic conditions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securities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interest rate risk primarily from our investments in available-for-sale securities. In accordance with an investment policy approved by the Audit Committee of our Board of Directors, our available-for-sale securities are predominantly comprised of U.S. government/agency securities, money market funds and corporate debt. We continually monitor our exposure to changes in interest rates and the credit ratings of issuers with respect to our available-for-sale securities. As a result of this monitoring and volatility of the financial markets, we adopted a more conservative investment strategy, and we are currently investing in lower risk and consequently lower interest-bearing investments. Accordingly, we believe that the effects of changes in interest rates and the credit ratings of these issuers are limited and would not have a material impact on our financial condition or results of operations. However, it is possible that we would be at risk if interest rates or the credit ratings of these issuers were to change unfavorably.</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At March 28, 2015, we held available-for-sale investments with an estimated fair value of $299.5 million. We do not purchase financial instruments for trading or speculative purposes. Our investments are classified as available-for-sale securities and are recorded on the balance sheet at fair value with unrealized gains and losses reported as a separate component of accumulated other comprehensive (loss) income. Our cash and cash equivalents and investments earned an average annual interest rate of approximately 0.1% in fiscal 2015 or less than $0.5 million in interest income. In fiscal 2014, our investments earned an average annual interest rate of approximately 0.1% or approximately $0.1 million in interest income. We do not have any investments denominated in foreign currencies and therefore are not subject to foreign currency risk on such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Costa Rica, Europe and Asia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Renminbi, Euro, Pound Sterling and Costa Rican Colon. If the U.S. dollar weakens compared to the Renminbi, Euro, Pound Sterling, Costa Rican Colon and other currencies, our operating expenses for foreign operations will be higher when remeasured back into U.S. dollars. We seek to manage our foreign exchange risk in part through operational means.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For fiscal 2015, we incurred a foreign currency loss of $0.2 million as compared to a gain of $0.2 million in fiscal 2014, which is recorded in “Other income (expense).” The foreign currency loss for fiscal 2015 was driven by the changes in the local currency denominated balance sheet accounts, the appreciation of the U.S. dollar against the British Pound and Euro, and the depreciation of the U.S. dollar against the Renminbi.</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financial instrument holdings, including foreign receivables, cash and payables at March 28, 2015,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increased by approximately $1.7 million. If the U.S. dollar increased in value 10% in relation to the re-measured foreign currency instruments, our net income would have decreased by approximately $1.4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In fiscal 2015, we were able to complete process technology improvements that are replacing gold with lower-cost materials to reduce this exposure. We also have an active reclamation process to capture any unused gold. While we continue to attempt to mitigate the risk of similar increases in commodities-related costs, there can be no assurance that we will be able to successfully safeguard against potential short-term and long-term commodity price fluctuations.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63"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547"/>
        </w:trPr>
        <w:tc>
          <w:tcPr>
            <w:tcW w:w="5680" w:type="dxa"/>
            <w:vAlign w:val="bottom"/>
            <w:gridSpan w:val="1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Balance Sheets</w:t>
              </w:r>
            </w:hyperlink>
          </w:p>
        </w:tc>
        <w:tc>
          <w:tcPr>
            <w:tcW w:w="568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50</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5680" w:type="dxa"/>
            <w:vAlign w:val="bottom"/>
            <w:gridSpan w:val="11"/>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Operations</w:t>
              </w:r>
            </w:hyperlink>
          </w:p>
        </w:tc>
        <w:tc>
          <w:tcPr>
            <w:tcW w:w="568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240" w:type="dxa"/>
            <w:vAlign w:val="bottom"/>
            <w:gridSpan w:val="8"/>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Comprehensive Income (Loss)</w:t>
              </w:r>
            </w:hyperlink>
          </w:p>
        </w:tc>
        <w:tc>
          <w:tcPr>
            <w:tcW w:w="1440" w:type="dxa"/>
            <w:vAlign w:val="bottom"/>
            <w:gridSpan w:val="3"/>
          </w:tcPr>
          <w:p>
            <w:pPr>
              <w:spacing w:after="0"/>
              <w:rPr>
                <w:sz w:val="21"/>
                <w:szCs w:val="21"/>
                <w:color w:val="auto"/>
              </w:rPr>
            </w:pPr>
          </w:p>
        </w:tc>
        <w:tc>
          <w:tcPr>
            <w:tcW w:w="568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7"/>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 xml:space="preserve">Consolidated Statements of </w:t>
              </w:r>
            </w:hyperlink>
            <w:r>
              <w:rPr>
                <w:rFonts w:ascii="Arial" w:cs="Arial" w:eastAsia="Arial" w:hAnsi="Arial"/>
                <w:sz w:val="18"/>
                <w:szCs w:val="18"/>
                <w:color w:val="0000FF"/>
                <w:w w:val="90"/>
              </w:rPr>
              <w:t>Stockholders' Equity</w:t>
            </w:r>
          </w:p>
        </w:tc>
        <w:tc>
          <w:tcPr>
            <w:tcW w:w="720" w:type="dxa"/>
            <w:vAlign w:val="bottom"/>
          </w:tcPr>
          <w:p>
            <w:pPr>
              <w:spacing w:after="0"/>
              <w:rPr>
                <w:sz w:val="21"/>
                <w:szCs w:val="21"/>
                <w:color w:val="auto"/>
              </w:rPr>
            </w:pPr>
          </w:p>
        </w:tc>
        <w:tc>
          <w:tcPr>
            <w:tcW w:w="1440" w:type="dxa"/>
            <w:vAlign w:val="bottom"/>
            <w:gridSpan w:val="3"/>
          </w:tcPr>
          <w:p>
            <w:pPr>
              <w:spacing w:after="0"/>
              <w:rPr>
                <w:sz w:val="21"/>
                <w:szCs w:val="21"/>
                <w:color w:val="auto"/>
              </w:rPr>
            </w:pPr>
          </w:p>
        </w:tc>
        <w:tc>
          <w:tcPr>
            <w:tcW w:w="568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53</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3520" w:type="dxa"/>
            <w:vAlign w:val="bottom"/>
            <w:gridSpan w:val="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Statements of Cash Flows</w:t>
              </w:r>
            </w:hyperlink>
          </w:p>
        </w:tc>
        <w:tc>
          <w:tcPr>
            <w:tcW w:w="2160" w:type="dxa"/>
            <w:vAlign w:val="bottom"/>
            <w:gridSpan w:val="4"/>
          </w:tcPr>
          <w:p>
            <w:pPr>
              <w:spacing w:after="0"/>
              <w:rPr>
                <w:sz w:val="21"/>
                <w:szCs w:val="21"/>
                <w:color w:val="auto"/>
              </w:rPr>
            </w:pPr>
          </w:p>
        </w:tc>
        <w:tc>
          <w:tcPr>
            <w:tcW w:w="568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5680" w:type="dxa"/>
            <w:vAlign w:val="bottom"/>
            <w:gridSpan w:val="11"/>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Notes to Consolidated Financial Statements</w:t>
              </w:r>
            </w:hyperlink>
          </w:p>
        </w:tc>
        <w:tc>
          <w:tcPr>
            <w:tcW w:w="56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980" w:type="dxa"/>
            <w:vAlign w:val="bottom"/>
            <w:gridSpan w:val="10"/>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Report of Management on Internal Control Over Financial Reporting</w:t>
              </w:r>
            </w:hyperlink>
          </w:p>
        </w:tc>
        <w:tc>
          <w:tcPr>
            <w:tcW w:w="700" w:type="dxa"/>
            <w:vAlign w:val="bottom"/>
          </w:tcPr>
          <w:p>
            <w:pPr>
              <w:spacing w:after="0"/>
              <w:rPr>
                <w:sz w:val="21"/>
                <w:szCs w:val="21"/>
                <w:color w:val="auto"/>
              </w:rPr>
            </w:pPr>
          </w:p>
        </w:tc>
        <w:tc>
          <w:tcPr>
            <w:tcW w:w="568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360" w:type="dxa"/>
            <w:vAlign w:val="bottom"/>
            <w:gridSpan w:val="9"/>
          </w:tcPr>
          <w:p>
            <w:pPr>
              <w:spacing w:after="0"/>
              <w:rPr>
                <w:rFonts w:ascii="Arial" w:cs="Arial" w:eastAsia="Arial" w:hAnsi="Arial"/>
                <w:sz w:val="18"/>
                <w:szCs w:val="18"/>
                <w:color w:val="0000FF"/>
                <w:w w:val="90"/>
              </w:rPr>
            </w:pPr>
            <w:hyperlink w:anchor="page89">
              <w:r>
                <w:rPr>
                  <w:rFonts w:ascii="Arial" w:cs="Arial" w:eastAsia="Arial" w:hAnsi="Arial"/>
                  <w:sz w:val="18"/>
                  <w:szCs w:val="18"/>
                  <w:color w:val="0000FF"/>
                  <w:w w:val="90"/>
                </w:rPr>
                <w:t>Reports of Independent Registered Public Accounting Firms</w:t>
              </w:r>
            </w:hyperlink>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8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88</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5680" w:type="dxa"/>
            <w:vAlign w:val="bottom"/>
            <w:gridSpan w:val="11"/>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Report of Independent Registered Public Accounting Firm on Internal Control</w:t>
              </w:r>
            </w:hyperlink>
          </w:p>
        </w:tc>
        <w:tc>
          <w:tcPr>
            <w:tcW w:w="5680" w:type="dxa"/>
            <w:vAlign w:val="bottom"/>
            <w:gridSpan w:val="3"/>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r>
      <w:tr>
        <w:trPr>
          <w:trHeight w:val="196"/>
        </w:trPr>
        <w:tc>
          <w:tcPr>
            <w:tcW w:w="160" w:type="dxa"/>
            <w:vAlign w:val="bottom"/>
            <w:tcBorders>
              <w:top w:val="single" w:sz="8" w:color="0000FF"/>
            </w:tcBorders>
          </w:tcPr>
          <w:p>
            <w:pPr>
              <w:spacing w:after="0"/>
              <w:rPr>
                <w:sz w:val="17"/>
                <w:szCs w:val="17"/>
                <w:color w:val="auto"/>
              </w:rPr>
            </w:pPr>
          </w:p>
        </w:tc>
        <w:tc>
          <w:tcPr>
            <w:tcW w:w="1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90">
              <w:r>
                <w:rPr>
                  <w:rFonts w:ascii="Arial" w:cs="Arial" w:eastAsia="Arial" w:hAnsi="Arial"/>
                  <w:sz w:val="18"/>
                  <w:szCs w:val="18"/>
                  <w:color w:val="0000FF"/>
                  <w:w w:val="91"/>
                </w:rPr>
                <w:t>Over Financial Reporting</w:t>
              </w:r>
            </w:hyperlink>
          </w:p>
        </w:tc>
        <w:tc>
          <w:tcPr>
            <w:tcW w:w="3680" w:type="dxa"/>
            <w:vAlign w:val="bottom"/>
            <w:tcBorders>
              <w:top w:val="single" w:sz="8" w:color="0000FF"/>
            </w:tcBorders>
            <w:gridSpan w:val="9"/>
          </w:tcPr>
          <w:p>
            <w:pPr>
              <w:spacing w:after="0"/>
              <w:rPr>
                <w:sz w:val="17"/>
                <w:szCs w:val="17"/>
                <w:color w:val="auto"/>
              </w:rPr>
            </w:pPr>
          </w:p>
        </w:tc>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Qorvo, Inc. and Subsidiaries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28, 2015</w:t>
            </w:r>
          </w:p>
        </w:tc>
        <w:tc>
          <w:tcPr>
            <w:tcW w:w="22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29, 2014</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299,814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171,898</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(Notes 1 &amp; 3)</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244,830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72,067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Accounts receivable, less allowance of $539 and $313 as of March 28, 2015 and March 29,</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2014,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353,830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137,417</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(Notes 1 &amp; 4)</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346,900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125,703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8"/>
                <w:szCs w:val="18"/>
                <w:i w:val="1"/>
                <w:iCs w:val="1"/>
                <w:color w:val="auto"/>
              </w:rPr>
              <w:t>(Note 1)</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25,816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tax assets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150,208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(Note 9)</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26,538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1,500,105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537,418</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Building and leasehold improvements</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253,224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140,393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919,651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547,991</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12,951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45,807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35,782</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1,256,959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738,625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(609,576)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(552,901)</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647,383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185,724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235,988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883,371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195,996</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(Notes 1, 5 &amp; 7)</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2,140,586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103,901</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(Notes 1, 5 &amp; 7)</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2,307,229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54,990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(Notes 1 &amp; 3)</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(Notes 9 &amp; 12)</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57,005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24,166</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6,892,379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920,312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182,468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79,783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51,824</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 xml:space="preserve">Current portion of long-term debt, net of unamortized discount </w:t>
            </w:r>
            <w:r>
              <w:rPr>
                <w:rFonts w:ascii="Arial" w:cs="Arial" w:eastAsia="Arial" w:hAnsi="Arial"/>
                <w:sz w:val="18"/>
                <w:szCs w:val="18"/>
                <w:i w:val="1"/>
                <w:iCs w:val="1"/>
                <w:color w:val="auto"/>
              </w:rPr>
              <w:t>(Note 8)</w:t>
            </w:r>
          </w:p>
        </w:tc>
        <w:tc>
          <w:tcPr>
            <w:tcW w:w="240" w:type="dxa"/>
            <w:vAlign w:val="bottom"/>
          </w:tcPr>
          <w:p>
            <w:pPr>
              <w:spacing w:after="0"/>
              <w:rPr>
                <w:sz w:val="21"/>
                <w:szCs w:val="21"/>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87,263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(Notes 10 &amp; 12)</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325,310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219,973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310,189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(Notes 9, 10 &amp; 11)</w:t>
            </w:r>
          </w:p>
        </w:tc>
        <w:tc>
          <w:tcPr>
            <w:tcW w:w="2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83,720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23,104</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243,961</w:t>
            </w:r>
          </w:p>
        </w:tc>
        <w:tc>
          <w:tcPr>
            <w:tcW w:w="0" w:type="dxa"/>
            <w:vAlign w:val="bottom"/>
          </w:tcPr>
          <w:p>
            <w:pPr>
              <w:spacing w:after="0"/>
              <w:rPr>
                <w:sz w:val="1"/>
                <w:szCs w:val="1"/>
                <w:color w:val="auto"/>
              </w:rPr>
            </w:pP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10)</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w w:val="90"/>
              </w:rPr>
              <w:t>Preferred stock, $.0001 par value; 5,000 shares authorized; no shares issued and outstanding</w:t>
            </w:r>
          </w:p>
        </w:tc>
        <w:tc>
          <w:tcPr>
            <w:tcW w:w="240" w:type="dxa"/>
            <w:vAlign w:val="bottom"/>
          </w:tcPr>
          <w:p>
            <w:pPr>
              <w:spacing w:after="0"/>
              <w:rPr>
                <w:sz w:val="21"/>
                <w:szCs w:val="21"/>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Common stock, $.0001 par value; 405,000 shares authorized; 149,059 and 71,215 shares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issued and outstanding at March 28, 2015 and March 29, 2014,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6,584,247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1,284,402</w:t>
            </w:r>
          </w:p>
        </w:tc>
        <w:tc>
          <w:tcPr>
            <w:tcW w:w="0" w:type="dxa"/>
            <w:vAlign w:val="bottom"/>
          </w:tcPr>
          <w:p>
            <w:pPr>
              <w:spacing w:after="0"/>
              <w:rPr>
                <w:sz w:val="1"/>
                <w:szCs w:val="1"/>
                <w:color w:val="auto"/>
              </w:rPr>
            </w:pPr>
          </w:p>
        </w:tc>
      </w:tr>
      <w:tr>
        <w:trPr>
          <w:trHeight w:val="243"/>
        </w:trPr>
        <w:tc>
          <w:tcPr>
            <w:tcW w:w="7160" w:type="dxa"/>
            <w:vAlign w:val="bottom"/>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(607,266)</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6,173,160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676,351</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6,892,379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920,312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i w:val="1"/>
          <w:iCs w:val="1"/>
          <w:color w:val="auto"/>
        </w:rPr>
        <w:t>See accompanying notes.</w:t>
      </w:r>
    </w:p>
    <w:p>
      <w:pPr>
        <w:sectPr>
          <w:pgSz w:w="11900" w:h="16838" w:orient="portrait"/>
          <w:cols w:equalWidth="0" w:num="1">
            <w:col w:w="11240"/>
          </w:cols>
          <w:pgMar w:left="240" w:top="122" w:right="419" w:bottom="1163" w:gutter="0" w:footer="0" w:header="0"/>
        </w:sect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240" w:top="122" w:right="419" w:bottom="1163"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Fiscal Year</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642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7"/>
        </w:trPr>
        <w:tc>
          <w:tcPr>
            <w:tcW w:w="64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1,148,231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Cost of goods sold (</w:t>
            </w:r>
            <w:r>
              <w:rPr>
                <w:rFonts w:ascii="Arial" w:cs="Arial" w:eastAsia="Arial" w:hAnsi="Arial"/>
                <w:sz w:val="18"/>
                <w:szCs w:val="18"/>
                <w:i w:val="1"/>
                <w:iCs w:val="1"/>
                <w:color w:val="auto"/>
              </w:rPr>
              <w:t>Note 7)</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1,021,658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743,304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658,332</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689,308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404,927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305,815</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257,494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197,269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178,793</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Marketing and selling (</w:t>
            </w:r>
            <w:r>
              <w:rPr>
                <w:rFonts w:ascii="Arial" w:cs="Arial" w:eastAsia="Arial" w:hAnsi="Arial"/>
                <w:sz w:val="18"/>
                <w:szCs w:val="18"/>
                <w:i w:val="1"/>
                <w:iCs w:val="1"/>
                <w:color w:val="auto"/>
              </w:rPr>
              <w:t>Note 7)</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74,672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68,674</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85,229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76,732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64,242</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5, 7 &amp; 11)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566,842</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377,586</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321,495</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Loss on retirement of convertible subordinated notes </w:t>
            </w:r>
            <w:r>
              <w:rPr>
                <w:rFonts w:ascii="Arial" w:cs="Arial" w:eastAsia="Arial" w:hAnsi="Arial"/>
                <w:sz w:val="18"/>
                <w:szCs w:val="18"/>
                <w:i w:val="1"/>
                <w:iCs w:val="1"/>
                <w:color w:val="auto"/>
              </w:rPr>
              <w:t>(Note 8)</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121,241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23,873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(25,899)</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8"/>
                <w:szCs w:val="18"/>
                <w:i w:val="1"/>
                <w:iCs w:val="1"/>
                <w:color w:val="auto"/>
              </w:rPr>
              <w:t>(Note 12)</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75,062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(27,100)</w:t>
            </w:r>
          </w:p>
        </w:tc>
      </w:tr>
      <w:tr>
        <w:trPr>
          <w:trHeight w:val="297"/>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196,303</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12,642</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r>
      <w:tr>
        <w:trPr>
          <w:trHeight w:val="284"/>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 xml:space="preserve">Net income (loss) per share </w:t>
            </w:r>
            <w:r>
              <w:rPr>
                <w:rFonts w:ascii="Arial" w:cs="Arial" w:eastAsia="Arial" w:hAnsi="Arial"/>
                <w:sz w:val="18"/>
                <w:szCs w:val="18"/>
                <w:i w:val="1"/>
                <w:iCs w:val="1"/>
                <w:color w:val="auto"/>
              </w:rPr>
              <w:t>(Note 13):</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r>
      <w:tr>
        <w:trPr>
          <w:trHeight w:val="284"/>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70,499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69,650</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4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93,211</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72,019</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69,650</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125"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Fiscal Year</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43"/>
        </w:trPr>
        <w:tc>
          <w:tcPr>
            <w:tcW w:w="6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7"/>
        </w:trPr>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(52,999)</w:t>
            </w:r>
          </w:p>
        </w:tc>
      </w:tr>
      <w:tr>
        <w:trPr>
          <w:trHeight w:val="223"/>
        </w:trPr>
        <w:tc>
          <w:tcPr>
            <w:tcW w:w="60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6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Change in pension liability, net of tax</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Foreign currency translation adjustment, including intra-entity foreign currency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that are of a long-term-investment nature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Recognized loss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02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196,964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12,355</w:t>
            </w:r>
          </w:p>
        </w:tc>
        <w:tc>
          <w:tcPr>
            <w:tcW w:w="2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(53,336)</w:t>
            </w:r>
          </w:p>
        </w:tc>
      </w:tr>
      <w:tr>
        <w:trPr>
          <w:trHeight w:val="27"/>
        </w:trPr>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40"/>
          </w:cols>
          <w:pgMar w:left="240" w:top="125" w:right="9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38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840" w:type="dxa"/>
            <w:vAlign w:val="bottom"/>
          </w:tcPr>
          <w:p>
            <w:pPr>
              <w:spacing w:after="0"/>
              <w:rPr>
                <w:sz w:val="23"/>
                <w:szCs w:val="23"/>
                <w:color w:val="auto"/>
              </w:rPr>
            </w:pPr>
          </w:p>
        </w:tc>
        <w:tc>
          <w:tcPr>
            <w:tcW w:w="2560" w:type="dxa"/>
            <w:vAlign w:val="bottom"/>
            <w:gridSpan w:val="5"/>
          </w:tcPr>
          <w:p>
            <w:pPr>
              <w:ind w:left="70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23"/>
                <w:szCs w:val="2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3840" w:type="dxa"/>
            <w:vAlign w:val="bottom"/>
          </w:tcPr>
          <w:p>
            <w:pPr>
              <w:spacing w:after="0"/>
              <w:rPr>
                <w:sz w:val="23"/>
                <w:szCs w:val="23"/>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Income</w:t>
            </w:r>
          </w:p>
        </w:tc>
        <w:tc>
          <w:tcPr>
            <w:tcW w:w="12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23"/>
                <w:szCs w:val="23"/>
                <w:color w:val="auto"/>
              </w:rPr>
            </w:pPr>
          </w:p>
        </w:tc>
        <w:tc>
          <w:tcPr>
            <w:tcW w:w="860" w:type="dxa"/>
            <w:vAlign w:val="bottom"/>
          </w:tcPr>
          <w:p>
            <w:pPr>
              <w:jc w:val="right"/>
              <w:ind w:right="250"/>
              <w:spacing w:after="0"/>
              <w:rPr>
                <w:sz w:val="20"/>
                <w:szCs w:val="20"/>
                <w:color w:val="auto"/>
              </w:rPr>
            </w:pPr>
            <w:r>
              <w:rPr>
                <w:rFonts w:ascii="Arial" w:cs="Arial" w:eastAsia="Arial" w:hAnsi="Arial"/>
                <w:sz w:val="16"/>
                <w:szCs w:val="16"/>
                <w:b w:val="1"/>
                <w:bCs w:val="1"/>
                <w:color w:val="auto"/>
              </w:rPr>
              <w:t>Total</w:t>
            </w:r>
          </w:p>
        </w:tc>
      </w:tr>
      <w:tr>
        <w:trPr>
          <w:trHeight w:val="33"/>
        </w:trPr>
        <w:tc>
          <w:tcPr>
            <w:tcW w:w="3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2012</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672,331</w:t>
            </w:r>
          </w:p>
        </w:tc>
      </w:tr>
      <w:tr>
        <w:trPr>
          <w:trHeight w:val="243"/>
        </w:trPr>
        <w:tc>
          <w:tcPr>
            <w:tcW w:w="38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(52,999)</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w w:val="92"/>
              </w:rPr>
              <w:t>Repurchase of convertible subordinated notes,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840" w:type="dxa"/>
            <w:vAlign w:val="bottom"/>
          </w:tcPr>
          <w:p>
            <w:pPr>
              <w:ind w:left="520"/>
              <w:spacing w:after="0"/>
              <w:rPr>
                <w:sz w:val="20"/>
                <w:szCs w:val="20"/>
                <w:color w:val="auto"/>
              </w:rPr>
            </w:pPr>
            <w:r>
              <w:rPr>
                <w:rFonts w:ascii="Arial" w:cs="Arial" w:eastAsia="Arial" w:hAnsi="Arial"/>
                <w:sz w:val="18"/>
                <w:szCs w:val="18"/>
                <w:color w:val="auto"/>
              </w:rPr>
              <w:t>net of tax</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 and vesting of</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restricted stock units, net of shares withheld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3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w w:val="95"/>
              </w:rPr>
              <w:t>Issuance of common stock in connection with</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84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3,348</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r>
      <w:tr>
        <w:trPr>
          <w:trHeight w:val="243"/>
        </w:trPr>
        <w:tc>
          <w:tcPr>
            <w:tcW w:w="38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30,657</w:t>
            </w:r>
          </w:p>
        </w:tc>
      </w:tr>
      <w:tr>
        <w:trPr>
          <w:trHeight w:val="27"/>
        </w:trPr>
        <w:tc>
          <w:tcPr>
            <w:tcW w:w="3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2013</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70,040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1,259,420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639,014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12,642</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Exercise of stock options and vesting of</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3840" w:type="dxa"/>
            <w:vAlign w:val="bottom"/>
          </w:tcPr>
          <w:p>
            <w:pPr>
              <w:ind w:left="520"/>
              <w:spacing w:after="0"/>
              <w:rPr>
                <w:sz w:val="20"/>
                <w:szCs w:val="20"/>
                <w:color w:val="auto"/>
              </w:rPr>
            </w:pPr>
            <w:r>
              <w:rPr>
                <w:rFonts w:ascii="Arial" w:cs="Arial" w:eastAsia="Arial" w:hAnsi="Arial"/>
                <w:sz w:val="18"/>
                <w:szCs w:val="18"/>
                <w:color w:val="auto"/>
                <w:w w:val="94"/>
              </w:rPr>
              <w:t>restricted stock units, net of shares withheld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84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3,326</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Issuance of common stock in connection with</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4,617</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84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(12,780)</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29,819</w:t>
            </w: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Balance, March 29, 2014</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71,215</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1,284,402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(607,266)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676,351</w:t>
            </w:r>
          </w:p>
        </w:tc>
      </w:tr>
      <w:tr>
        <w:trPr>
          <w:trHeight w:val="67"/>
        </w:trPr>
        <w:tc>
          <w:tcPr>
            <w:tcW w:w="38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196,303</w:t>
            </w:r>
          </w:p>
        </w:tc>
      </w:tr>
      <w:tr>
        <w:trPr>
          <w:trHeight w:val="243"/>
        </w:trPr>
        <w:tc>
          <w:tcPr>
            <w:tcW w:w="384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 and vesting of</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restricted stock units, net of shares withheld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3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Issuance of common stock for Business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840" w:type="dxa"/>
            <w:vAlign w:val="bottom"/>
          </w:tcPr>
          <w:p>
            <w:pPr>
              <w:ind w:left="520"/>
              <w:spacing w:after="0"/>
              <w:rPr>
                <w:sz w:val="20"/>
                <w:szCs w:val="20"/>
                <w:color w:val="auto"/>
              </w:rPr>
            </w:pPr>
            <w:r>
              <w:rPr>
                <w:rFonts w:ascii="Arial" w:cs="Arial" w:eastAsia="Arial" w:hAnsi="Arial"/>
                <w:sz w:val="18"/>
                <w:szCs w:val="18"/>
                <w:color w:val="auto"/>
              </w:rPr>
              <w:t>Combination</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75,306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5,254,367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5,254,367</w:t>
            </w:r>
          </w:p>
        </w:tc>
      </w:tr>
      <w:tr>
        <w:trPr>
          <w:trHeight w:val="27"/>
        </w:trPr>
        <w:tc>
          <w:tcPr>
            <w:tcW w:w="3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Issuance of common stock in connection with</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r>
      <w:tr>
        <w:trPr>
          <w:trHeight w:val="293"/>
        </w:trPr>
        <w:tc>
          <w:tcPr>
            <w:tcW w:w="3840" w:type="dxa"/>
            <w:vAlign w:val="bottom"/>
          </w:tcPr>
          <w:p>
            <w:pPr>
              <w:ind w:left="360"/>
              <w:spacing w:after="0"/>
              <w:rPr>
                <w:sz w:val="20"/>
                <w:szCs w:val="20"/>
                <w:color w:val="auto"/>
              </w:rPr>
            </w:pPr>
            <w:r>
              <w:rPr>
                <w:rFonts w:ascii="Arial" w:cs="Arial" w:eastAsia="Arial" w:hAnsi="Arial"/>
                <w:sz w:val="18"/>
                <w:szCs w:val="18"/>
                <w:color w:val="auto"/>
              </w:rPr>
              <w:t>Tax benefit from exercised stock options</w:t>
            </w:r>
          </w:p>
        </w:tc>
        <w:tc>
          <w:tcPr>
            <w:tcW w:w="12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9,834</w:t>
            </w:r>
          </w:p>
        </w:tc>
      </w:tr>
      <w:tr>
        <w:trPr>
          <w:trHeight w:val="233"/>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7"/>
        </w:trPr>
        <w:tc>
          <w:tcPr>
            <w:tcW w:w="3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(50,874)</w:t>
            </w:r>
          </w:p>
        </w:tc>
      </w:tr>
      <w:tr>
        <w:trPr>
          <w:trHeight w:val="243"/>
        </w:trPr>
        <w:tc>
          <w:tcPr>
            <w:tcW w:w="38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78,621</w:t>
            </w:r>
          </w:p>
        </w:tc>
      </w:tr>
      <w:tr>
        <w:trPr>
          <w:trHeight w:val="27"/>
        </w:trPr>
        <w:tc>
          <w:tcPr>
            <w:tcW w:w="3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28, 2015</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149,059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6,584,247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6,173,160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20"/>
          </w:cols>
          <w:pgMar w:left="240" w:top="125" w:right="1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Fiscal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16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358"/>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ind w:right="378"/>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ind w:right="378"/>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04"/>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196,303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(52,999)</w:t>
            </w:r>
          </w:p>
        </w:tc>
        <w:tc>
          <w:tcPr>
            <w:tcW w:w="0" w:type="dxa"/>
            <w:vAlign w:val="bottom"/>
          </w:tcPr>
          <w:p>
            <w:pPr>
              <w:spacing w:after="0"/>
              <w:rPr>
                <w:sz w:val="1"/>
                <w:szCs w:val="1"/>
                <w:color w:val="auto"/>
              </w:rPr>
            </w:pPr>
          </w:p>
        </w:tc>
      </w:tr>
      <w:tr>
        <w:trPr>
          <w:trHeight w:val="224"/>
        </w:trPr>
        <w:tc>
          <w:tcPr>
            <w:tcW w:w="7160" w:type="dxa"/>
            <w:vAlign w:val="bottom"/>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74,239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45,698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49,357</w:t>
            </w:r>
          </w:p>
        </w:tc>
        <w:tc>
          <w:tcPr>
            <w:tcW w:w="0" w:type="dxa"/>
            <w:vAlign w:val="bottom"/>
          </w:tcPr>
          <w:p>
            <w:pPr>
              <w:spacing w:after="0"/>
              <w:rPr>
                <w:sz w:val="1"/>
                <w:szCs w:val="1"/>
                <w:color w:val="auto"/>
              </w:rPr>
            </w:pPr>
          </w:p>
        </w:tc>
      </w:tr>
      <w:tr>
        <w:trPr>
          <w:trHeight w:val="237"/>
        </w:trPr>
        <w:tc>
          <w:tcPr>
            <w:tcW w:w="7160" w:type="dxa"/>
            <w:vAlign w:val="bottom"/>
          </w:tcPr>
          <w:p>
            <w:pPr>
              <w:ind w:left="200"/>
              <w:spacing w:after="0"/>
              <w:rPr>
                <w:sz w:val="20"/>
                <w:szCs w:val="20"/>
                <w:color w:val="auto"/>
              </w:rPr>
            </w:pPr>
            <w:r>
              <w:rPr>
                <w:rFonts w:ascii="Arial" w:cs="Arial" w:eastAsia="Arial" w:hAnsi="Arial"/>
                <w:sz w:val="16"/>
                <w:szCs w:val="16"/>
                <w:color w:val="auto"/>
              </w:rPr>
              <w:t xml:space="preserve">Intangible amortization </w:t>
            </w:r>
            <w:r>
              <w:rPr>
                <w:rFonts w:ascii="Arial" w:cs="Arial" w:eastAsia="Arial" w:hAnsi="Arial"/>
                <w:sz w:val="16"/>
                <w:szCs w:val="16"/>
                <w:i w:val="1"/>
                <w:iCs w:val="1"/>
                <w:color w:val="auto"/>
              </w:rPr>
              <w:t>(Note 7)</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142,749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28,638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23,107</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Non-cash interest expense and 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5,793</w:t>
            </w:r>
          </w:p>
        </w:tc>
        <w:tc>
          <w:tcPr>
            <w:tcW w:w="0" w:type="dxa"/>
            <w:vAlign w:val="bottom"/>
          </w:tcPr>
          <w:p>
            <w:pPr>
              <w:spacing w:after="0"/>
              <w:rPr>
                <w:sz w:val="1"/>
                <w:szCs w:val="1"/>
                <w:color w:val="auto"/>
              </w:rPr>
            </w:pPr>
          </w:p>
        </w:tc>
      </w:tr>
      <w:tr>
        <w:trPr>
          <w:trHeight w:val="237"/>
        </w:trPr>
        <w:tc>
          <w:tcPr>
            <w:tcW w:w="7160" w:type="dxa"/>
            <w:vAlign w:val="bottom"/>
          </w:tcPr>
          <w:p>
            <w:pPr>
              <w:ind w:left="200"/>
              <w:spacing w:after="0"/>
              <w:rPr>
                <w:sz w:val="20"/>
                <w:szCs w:val="20"/>
                <w:color w:val="auto"/>
              </w:rPr>
            </w:pPr>
            <w:r>
              <w:rPr>
                <w:rFonts w:ascii="Arial" w:cs="Arial" w:eastAsia="Arial" w:hAnsi="Arial"/>
                <w:sz w:val="16"/>
                <w:szCs w:val="16"/>
                <w:color w:val="auto"/>
              </w:rPr>
              <w:t>Investment discount amortization, net</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Excess tax benefit from exercises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1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(109,970)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16,796</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160" w:type="dxa"/>
            <w:vAlign w:val="bottom"/>
          </w:tcPr>
          <w:p>
            <w:pPr>
              <w:ind w:left="200"/>
              <w:spacing w:after="0"/>
              <w:rPr>
                <w:sz w:val="20"/>
                <w:szCs w:val="20"/>
                <w:color w:val="auto"/>
              </w:rPr>
            </w:pPr>
            <w:r>
              <w:rPr>
                <w:rFonts w:ascii="Arial" w:cs="Arial" w:eastAsia="Arial" w:hAnsi="Arial"/>
                <w:sz w:val="16"/>
                <w:szCs w:val="16"/>
                <w:color w:val="auto"/>
              </w:rPr>
              <w:t>Loss on retirement of convertible subordinated notes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shd w:val="clear" w:color="auto" w:fill="CCEEFF"/>
              </w:rPr>
              <w:t>(Income) loss from equity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7160" w:type="dxa"/>
            <w:vAlign w:val="bottom"/>
          </w:tcPr>
          <w:p>
            <w:pPr>
              <w:ind w:left="200"/>
              <w:spacing w:after="0"/>
              <w:rPr>
                <w:sz w:val="20"/>
                <w:szCs w:val="20"/>
                <w:color w:val="auto"/>
              </w:rPr>
            </w:pPr>
            <w:r>
              <w:rPr>
                <w:rFonts w:ascii="Arial" w:cs="Arial" w:eastAsia="Arial" w:hAnsi="Arial"/>
                <w:sz w:val="16"/>
                <w:szCs w:val="16"/>
                <w:color w:val="auto"/>
              </w:rPr>
              <w:t xml:space="preserve">Loss on impairment of intangible assets </w:t>
            </w:r>
            <w:r>
              <w:rPr>
                <w:rFonts w:ascii="Arial" w:cs="Arial" w:eastAsia="Arial" w:hAnsi="Arial"/>
                <w:sz w:val="16"/>
                <w:szCs w:val="16"/>
                <w:i w:val="1"/>
                <w:iCs w:val="1"/>
                <w:color w:val="auto"/>
              </w:rPr>
              <w:t>(Note 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11,300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Loss on assets and other, net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9,185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4,342</w:t>
            </w:r>
          </w:p>
        </w:tc>
        <w:tc>
          <w:tcPr>
            <w:tcW w:w="0" w:type="dxa"/>
            <w:vAlign w:val="bottom"/>
          </w:tcPr>
          <w:p>
            <w:pPr>
              <w:spacing w:after="0"/>
              <w:rPr>
                <w:sz w:val="1"/>
                <w:szCs w:val="1"/>
                <w:color w:val="auto"/>
              </w:rPr>
            </w:pPr>
          </w:p>
        </w:tc>
      </w:tr>
      <w:tr>
        <w:trPr>
          <w:trHeight w:val="237"/>
        </w:trPr>
        <w:tc>
          <w:tcPr>
            <w:tcW w:w="716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64,941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29,901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30,819</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(38,400)</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(19,071)</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Prepaid expense and other current and non-current assets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46,821</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4,825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 payable/(recoverable)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12,704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9,381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2,370</w:t>
            </w:r>
          </w:p>
        </w:tc>
        <w:tc>
          <w:tcPr>
            <w:tcW w:w="0" w:type="dxa"/>
            <w:vAlign w:val="bottom"/>
          </w:tcPr>
          <w:p>
            <w:pPr>
              <w:spacing w:after="0"/>
              <w:rPr>
                <w:sz w:val="1"/>
                <w:szCs w:val="1"/>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305,624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130,849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71,252</w:t>
            </w:r>
          </w:p>
        </w:tc>
        <w:tc>
          <w:tcPr>
            <w:tcW w:w="0" w:type="dxa"/>
            <w:vAlign w:val="bottom"/>
          </w:tcPr>
          <w:p>
            <w:pPr>
              <w:spacing w:after="0"/>
              <w:rPr>
                <w:sz w:val="1"/>
                <w:szCs w:val="1"/>
                <w:color w:val="auto"/>
              </w:rPr>
            </w:pPr>
          </w:p>
        </w:tc>
      </w:tr>
      <w:tr>
        <w:trPr>
          <w:trHeight w:val="224"/>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 of securities available-for-sale</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(89,959)</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Proceeds from maturities of securities available-for-sale</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261,185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130,999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176,975</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the sale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Purchase of business, net of cash acquired</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224,324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(47,697)</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the 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6"/>
                <w:szCs w:val="16"/>
                <w:color w:val="auto"/>
              </w:rPr>
              <w:t>Purchase of intangibles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(54,636)</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7,448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(14,477)</w:t>
            </w:r>
          </w:p>
        </w:tc>
        <w:tc>
          <w:tcPr>
            <w:tcW w:w="0" w:type="dxa"/>
            <w:vAlign w:val="bottom"/>
          </w:tcPr>
          <w:p>
            <w:pPr>
              <w:spacing w:after="0"/>
              <w:rPr>
                <w:sz w:val="1"/>
                <w:szCs w:val="1"/>
                <w:color w:val="auto"/>
              </w:rPr>
            </w:pPr>
          </w:p>
        </w:tc>
      </w:tr>
      <w:tr>
        <w:trPr>
          <w:trHeight w:val="224"/>
        </w:trPr>
        <w:tc>
          <w:tcPr>
            <w:tcW w:w="71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Payment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(79,432)</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Excess tax benefit from exercises of stock options</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13,993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Debt issuance cost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Proceeds from the issuance of common stock</w:t>
            </w:r>
          </w:p>
        </w:tc>
        <w:tc>
          <w:tcPr>
            <w:tcW w:w="24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46,072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Repurchase of common stock, including transaction costs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37"/>
        </w:trPr>
        <w:tc>
          <w:tcPr>
            <w:tcW w:w="7160" w:type="dxa"/>
            <w:vAlign w:val="bottom"/>
          </w:tcPr>
          <w:p>
            <w:pPr>
              <w:ind w:left="360"/>
              <w:spacing w:after="0"/>
              <w:rPr>
                <w:sz w:val="20"/>
                <w:szCs w:val="20"/>
                <w:color w:val="auto"/>
              </w:rPr>
            </w:pPr>
            <w:r>
              <w:rPr>
                <w:rFonts w:ascii="Arial" w:cs="Arial" w:eastAsia="Arial" w:hAnsi="Arial"/>
                <w:sz w:val="16"/>
                <w:szCs w:val="16"/>
                <w:color w:val="auto"/>
              </w:rPr>
              <w:t>Tax withholding paid on behalf of employees for restricted stock units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(5,959)</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financing</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716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(112,898)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(89,670)</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17"/>
        </w:trPr>
        <w:tc>
          <w:tcPr>
            <w:tcW w:w="71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127,916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70,236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(33,862)</w:t>
            </w:r>
          </w:p>
        </w:tc>
        <w:tc>
          <w:tcPr>
            <w:tcW w:w="0" w:type="dxa"/>
            <w:vAlign w:val="bottom"/>
          </w:tcPr>
          <w:p>
            <w:pPr>
              <w:spacing w:after="0"/>
              <w:rPr>
                <w:sz w:val="1"/>
                <w:szCs w:val="1"/>
                <w:color w:val="auto"/>
              </w:rPr>
            </w:pPr>
          </w:p>
        </w:tc>
      </w:tr>
      <w:tr>
        <w:trPr>
          <w:trHeight w:val="33"/>
        </w:trPr>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beginning of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171,898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101,662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135,524</w:t>
            </w:r>
          </w:p>
        </w:tc>
        <w:tc>
          <w:tcPr>
            <w:tcW w:w="0" w:type="dxa"/>
            <w:vAlign w:val="bottom"/>
          </w:tcPr>
          <w:p>
            <w:pPr>
              <w:spacing w:after="0"/>
              <w:rPr>
                <w:sz w:val="1"/>
                <w:szCs w:val="1"/>
                <w:color w:val="auto"/>
              </w:rPr>
            </w:pPr>
          </w:p>
        </w:tc>
      </w:tr>
      <w:tr>
        <w:trPr>
          <w:trHeight w:val="217"/>
        </w:trPr>
        <w:tc>
          <w:tcPr>
            <w:tcW w:w="7160" w:type="dxa"/>
            <w:vAlign w:val="bottom"/>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299,814</w:t>
            </w:r>
          </w:p>
        </w:tc>
        <w:tc>
          <w:tcPr>
            <w:tcW w:w="12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171,898</w:t>
            </w:r>
          </w:p>
        </w:tc>
        <w:tc>
          <w:tcPr>
            <w:tcW w:w="10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101,662</w:t>
            </w:r>
          </w:p>
        </w:tc>
        <w:tc>
          <w:tcPr>
            <w:tcW w:w="0" w:type="dxa"/>
            <w:vAlign w:val="bottom"/>
          </w:tcPr>
          <w:p>
            <w:pPr>
              <w:spacing w:after="0"/>
              <w:rPr>
                <w:sz w:val="1"/>
                <w:szCs w:val="1"/>
                <w:color w:val="auto"/>
              </w:rPr>
            </w:pPr>
          </w:p>
        </w:tc>
      </w:tr>
      <w:tr>
        <w:trPr>
          <w:trHeight w:val="73"/>
        </w:trPr>
        <w:tc>
          <w:tcPr>
            <w:tcW w:w="71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160" w:type="dxa"/>
            <w:vAlign w:val="bottom"/>
          </w:tcPr>
          <w:p>
            <w:pPr>
              <w:ind w:left="40"/>
              <w:spacing w:after="0"/>
              <w:rPr>
                <w:sz w:val="20"/>
                <w:szCs w:val="20"/>
                <w:color w:val="auto"/>
              </w:rPr>
            </w:pPr>
            <w:r>
              <w:rPr>
                <w:rFonts w:ascii="Arial" w:cs="Arial" w:eastAsia="Arial" w:hAnsi="Arial"/>
                <w:sz w:val="16"/>
                <w:szCs w:val="16"/>
                <w:color w:val="auto"/>
              </w:rPr>
              <w:t>Cash paid during the year for interest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73"/>
        </w:trPr>
        <w:tc>
          <w:tcPr>
            <w:tcW w:w="71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1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Cash paid during the year for income taxes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34,590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15,350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8,941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 adjustments included in liabilities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 xml:space="preserve">Fair value of equity consideration related to Business Combination </w:t>
            </w:r>
            <w:r>
              <w:rPr>
                <w:rFonts w:ascii="Arial" w:cs="Arial" w:eastAsia="Arial" w:hAnsi="Arial"/>
                <w:sz w:val="16"/>
                <w:szCs w:val="16"/>
                <w:i w:val="1"/>
                <w:iCs w:val="1"/>
                <w:color w:val="auto"/>
              </w:rPr>
              <w:t>(Note 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vMerge w:val="continue"/>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5,254,367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240" w:top="122" w:right="639" w:bottom="0" w:gutter="0" w:footer="0" w:header="0"/>
        </w:sectPr>
      </w:pPr>
    </w:p>
    <w:bookmarkStart w:id="54" w:name="page55"/>
    <w:bookmarkEnd w:id="54"/>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184" w:right="1440"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28, 2015</w:t>
      </w:r>
    </w:p>
    <w:p>
      <w:pPr>
        <w:spacing w:after="0" w:line="34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22, 2014, RF Micro Devices, Inc. ("RFMD" and referred to herein as the "Company" prior to January 1, 2015) and TriQuint Semiconductor, Inc. ("TriQuint") entered into an Agreement and Plan of Merger and Reorganization (as subsequently amended on July 15, 2014, the "Merger Agreement") providing for the business combination of RFMD and TriQuint ("Business Combination") under a new holding company named Qorvo, Inc. (formerly named Rocky Holding, Inc.) ("Qorvo" and referred to herein as the "Company" as of and following January 1, 2015). The stockholders of both RFMD and TriQuint approved the Merger Agreement at each company's special meeting of stockholders on September 5, 2014. During the third quarter of fiscal 2015, all necessary regulatory approvals were received to complete the Business Combination. The Business Combination closed on January 1, 2015 (fourth quarter of fiscal 2015). For financial reporting and accounting purposes, RFMD was the acquirer of TriQuint. The results presented in the Consolidated Financial Statements and Notes to the Consolidated Financial Statements reflect those of RFMD prior to the completion of the Business Combination on January 1, 2015 and those of Qorvo subsequent to the completion of the Business Combination.</w:t>
      </w:r>
    </w:p>
    <w:p>
      <w:pPr>
        <w:spacing w:after="0" w:line="182"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The Company is a leading provider of core technologies and radio frequency (“RF”) solutions for mobile, infrastructure and defense and aerospace applications. The Company is a preferred supplier to the world’s leading companies that serve the mobile device, networks infrastructure and defense and aerospace markets. The Company’s design and manufacturing expertise encompasses many semiconductor process technologies, which it sources both internally and through external suppliers. The Company operates worldwide with its design, sales and manufacturing facilities located throughout Asia, Europe and North America. The Company’s primary design and manufacturing facilities are located in North Carolina, Oregon, Texas and Florida and its primary assembly and test facilities are located in China, Costa Rica and Texas.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results of operations, assets and liabilities associated with the business combination with TriQuint have been included in the Company's financial statements from the acquisition date of January 1, 2015 (see Note 5).</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results of operations, assets and liabilities associated with the acquisition of Amalfi Semiconductor, Inc. (“Amalfi”) have been included in the Company's financial statements from the acquisition date of November 9, 2012 (see Note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most recent three fiscal years ended on March 28, 2015, March 29, 2014, and March 30, 2013. Fiscal years 2015, 2014 and 2013 were 52-week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U.S. requires management to make estimates and assumptions that affect the amounts reported in the consolidated financial statements and accompanying notes. The actual results that the Company experiences may differ materially from its estimates. The Company makes estimates for the returns reserve, rebates, allowance for doubtful accounts, inventory valuation including reserves, warranty reserves, income tax valuation, current and deferred income taxes, uncertain tax positions, non-marketable equity investments, other-than-temporary impairments of investments, goodwill, long-lived assets and other financial statement amounts on a regular basis and makes adjustments based on historical experiences and expected future conditions. Accounting estimates require difficult and subjective judgments and actual results may differ from the Company’s estimates.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highly-liquid investments with original maturities of three months or less when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Investments available-for-sale at March 28, 2015 consisted of U.S. government/agency securities, corporate debt, marketable equity securities, auction rate securities (ARS), and money market funds. Investments available-for-sale at March 29, 2014 consisted of U.S. government/agency securities, ARS, and money market funds. Available-for-sale investments with an original maturity date greater than approximately three months and less than one year are classified as current investments. Available-for-sale investments with an original maturity date exceeding one year are classified as long-term.</w:t>
      </w:r>
    </w:p>
    <w:p>
      <w:pPr>
        <w:spacing w:after="0" w:line="154"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Available-for-sale securities are carried at fair value with the unrealized gains and losses, net of tax, reported in "Other comprehensive income (loss)." The cost of securities sold is based on the specific identification method and any realized gain or loss is included in “Other (expense) income.” The amortized cost of available-for-sale securities is adjusted for amortization of premium and accretion of discounts, which are included as a portion of interest.</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assesses individual investments for impairment quarterly. Investments are impaired when the fair value is less than the amortized cost. If an investment is impaired, the Company evaluates whether the impairment is other-than-temporary. A debt investment impairment is considered other-than-temporary if (i) the Company intends to sell the security, (ii) it is more likely than not that the Company will be required to sell the security before recovery of the entire amortized cost basis, or (iii) the Company does not expect to recover the entire amortized cost basis of the security (a credit loss). Other-than-temporary declines in the Company's debt securities are recognized as a loss in the statement of operations if due to credit loss; all other losses on debt securities are recorded in "Other comprehensive income (loss)." The previous amortized cost basis less the other-than-temporary impairment becomes the new cost basis and is not adjusted for subsequent recoveries in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Inventories are stated at the lower of cost or market determined using the average cost method. The Company’s business is subject to the risk of technological and design changes. The Company evaluates inventory levels quarterly against sales forecasts on a product family basis to evaluate its overall inventory risk. Reserves are adjusted to reflect inventory values in excess of forecasted sales which include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 Abnormal production levels are charged to the income statement in the period incurred rather than as a portion of inventory cost.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were not significant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computed using the straight-line method over the estimated useful lives of the assets, ranging from one year to 39 years. The Company’s assets acquired under capital leases and leasehold improvements are amortized over the lesser of the asset life or lease term (which is reasonably assured) and included in depreciation.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30"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performs a review if facts and circumstances indicate that the carrying amount of assets may not be recoverable or that the useful life is shorter than had originally been estimated. The Company assesses the recoverability of the assets held for use by comparing the projected undiscounted net cash flows associated with the related asset or group of assets over their remaining estimated useful lives against their respective carrying amounts. Impairment, if any, is based on the excess of the carrying amount over the fair value of those assets. If the Company determines that the useful lives are shorter than the Company had originally estimated, the net book value of the assets is depreciated over the newly determined remaining useful lives. The Company identifies property and equipment as “held for sale” based on the current expectation that, more likely than not, an asset or asset group will be sold or otherwise disposed. The held for sale assets cease depreciation once the assets are classified to the held for sale category at the lesser of their carrying value or their fair market value less costs to sell.</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capitalizes the portion of the interest expense related to certain assets that are not ready for their intended use and this amount is depreciated over the estimated useful lives of the qualified assets. The Company additionally records capital-related government grants earned as a reduction to property and equipment and depreciates such grants over the estimated useful lives of the associated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225"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The Company records miscellaneous non-product receivables that are collectible within 12 months in “Other receivables,” such as value-added tax receivables ($15.2 million as of March 28, 2015 and $10.1 million as of March 29, 2014, which are reported on a net basis), precious metal reclaims submitted for payment, interest receivables and other miscellaneous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is recorded when the purchase price paid for a business exceeds the estimated fair value of the net identified tangible and intangible assets acquired. Intangibles are recorded when such assets are acquired by purchase or license. The value of the Company's intangibles, including goodwill, could be impacted by future adverse changes such as: (i) any future declines in the Company's operating results; (ii) a decline in the value of technology company stocks, including the value of the Company's common stock; (iii) a prolonged or more significant slowdown in the worldwide economy or the semiconductor industry; or (iv) failure to meet the performance projections included in the Company's forecasts of future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 with Indefinite Lives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has determined that its reporting units as of fiscal 2015 are MP and IDP for purposes of allocating and testing goodwill. In evaluating its reporting units, the Company first considers its operating segments and related components in accordance with FASB guidance. Goodwill is allocated to the reporting units that are expected to benefit from the synergies of the business combinations generating the underlying goodwill. As of March 28, 2015, the Company's goodwill balance of $2,140.6 million is allocated between its MP and IDP reporting units.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accounts for goodwill and indefinite-lived intangible assets in accordance with the FASB's authoritative guidance, which requires that they be tested annually for impairment or earlier if facts and circumstances indicate that they may be impaired. The Company performs its annual impairment test for goodwill and indefinite-lived intangible assets on the first day of the fourth quarter in each fiscal year. Indefinite-lived intangible assets consists of in-process research and development ("IPRD").</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the option to perform a qualitative assessment (commonly referred to as "step zero") to determine whether further quantitative analysis for impairment of goodwill or indefinite-lived intangible assets is necessary. In performing step zero for the impairment test, the Company is required to make assumptions and judgments including but not limited to the following: the evaluation of macroeconomic conditions as related to the Company's business, industry and market trends, and the overall future financial performance of the Company's reporting units and future opportunities in the markets in which they operate. The Company also considers recent fair value calculations of its indefinite-lived intangible assets and reporting units as well as cost factors such as changes in raw materials, labor or other costs. If the step zero analysis indicates that it is more likely than not that the fair value of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reporting unit or indefinite-lived asset is less than its respective carrying value including goodwill, then the Company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 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the Company's business strategy or its internal forecasts. Although the Company believes the assumptions, judgments and estimates it has made have been reasonable and appropriate, different assumptions, judgments and estimates could materially affect the Company's results of operations.</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performed a step zero analysis for its goodwill impairment test in the fourth quarter of fiscal 2015. As a result of this analysis, no further quantitative impairment test was deemed necessary for fiscal 2015. There was no impairment of goodwill as a result of the Company's annual impairment tests completed during the fourth quarters of fiscal years, 2015, 2014 and 2013.</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2015, as a result of the Business Combination, the Company recorded IPRD of $470.0 million. IPRD was recorded at fair value as of the date of acquisition as an indefinite-lived intangible asset until the completion or abandonment of the associated research and development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See Note 7 for additional information regarding an impairment of assets recorded in the fourth quarter of fiscal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technology licenses, customer relationships, developed technology, a wafer supply agreement, trade names and backlog resulting from business combinations and are subject to amortization.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Technology licenses are recorded at cost and are amortized on a straight-line basis over the lesser of the estimated useful life of the technology or the term of the license agreement, ranging from approximately five to eight years.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2013 and 2015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fair value of developed technology acquired during fiscal years 2013 and 2015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four to six years.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the wafer supply agreement was determined using the incremental income method, which is a discounted cash flow method within the income approach. Under this method, the fair value was estimated by discounting to present value the additional savings from expense reductions in operations at a discount rate to reflect the risk inherent in the wafer supply agreement as well as any tax benefits. The wafer supply agreement is amortized on a units of use activity method and has a useful life of approximately four years.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trade names acquired in fiscal 2015 was determined based on an income approach using the "relief from royalty method," in which the value of the asset is determined by discounting the future projected cash flows generated from the trade name's estimated royalties. Trade names are amortized on a straight-line basis over the estimated useful life of three years.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backlog acquired in fiscal 2015 was determined based on an income approach using the "excess earnings method" and is amortized on a straight-line basis over the estimated useful life of one year.</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regularly reviews identified intangible assets to determine if facts and circumstances indicate that the useful life is shorter than it originally estimated or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net revenue is generated principally from sales of semiconductor products. The Company recognizes revenue from product sales when the fundamental criteria are met, such as the time at which the title and risk and rewards of product ownership are transferred to the customer, price and terms are fixed or determinable, no significant vendor obligation exists and collection of the resulting receivable is reasonably assured.</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Sales of products are generally made through either the Company's sales force, manufacturers' representatives or through a distribution network. Revenue from the majority of the Company’s products is recognized upon shipment of the product to the customer from a Company-owned or third-party location. Some revenue is recognized upon receipt of the shipment by the customer. The Company has limited rebate programs offering price protection to certain distributors. These rebates represent less than 1% of net revenue and can be reasonably estimated based on specific criteria included in the rebate agreements and other known factors at the time. The Company reduces revenue and records reserves for product returns and allowances for price protection and stock rotation based on historical experience or specific identification depending on the contractual terms of the arrangement.</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also recognizes a portion of its net revenue through other agreements such as non-recurring engineering fees, contracts for research and development work, royalty income, intellectual property (IP) revenue, and service revenue. These agreements are collectively less than 1% of consolidated revenue on an annual basis. Revenue from these agreements is recognized when the service is completed or upon certain milestones, as provided for in the agreements.</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Revenue from certain contracts is recognized on the percentage of completion method based on the costs incurred to date and the total contract amount, plus the contractual fee. If these contracts experience cost overruns, the percentage of completion method is used to determine revenue recognition. Revenue from fixed price contracts is recognized when the required deliverable is satisfied.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Royalty income is recognized based on a percentage of sales of the relevant product reported by licensees during the period.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additionally licenses or sells its rights to use portions of its IP portfolio, which includes certain patent rights useful in the manufacture and sales of certain products. IP revenue recognition is dependent on the terms of each agreement. The Company will recognize IP revenue (i) upon delivery of the IP and (ii) if the Company has no substantive future obligation to perform under the arrangement. The Company will defer recognition of IP revenue where future performance obligations are required to earn the revenue or the revenue is not guaranteed. Revenue from services is recognized during the period that the service is performed.</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Accounts receivable are recorded for all revenue items listed above and do not bear interest. The Company evaluates the collectability of accounts receivable based on a combination of factors. In cases where the Company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30"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aware of circumstances that may impair a specific customer’s ability to meet its financial obligations subsequent to the original sale, the Company will record an allowance against amounts due, and thereby reduce the receivable to the amount the Company reasonably believes will be collected. For all other customers, the Company recognizes allowances for doubtful accounts based on the length of time the receivables are past due, industry and geographic concentrations, the current business environment and the Company’s historical experience.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terms and conditions do not give its customers a right of return associated with the original sale of its products. However, the Company will authorize sales returns under certain circumstances, which include perceived quality problems, courtesy returns and like-kind exchanges. The Company evaluates its estimate of returns by analyzing all types of returns and the timing of such returns in relation to the original sale. Reserves are adjusted to reflect changes in the estimated returns versus the original sale of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amounts billed to a customer in a sale transaction related to shipping and handling as revenue. The costs incurred by the Company for shipping and handling are classified as cost of goods sold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research and development costs to expense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expenses advertising costs as incurred. The Company recognized advertising expense of $0.5 million, $0.1 million, and $0.4 million for fiscal years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Precious Metals Reclaim</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uses historical experience to estimate the amount of reclaim on precious metals used in manufacturing at the end of each period and state the reclaim value at the lower of average cost or market. The estimated value to be received from precious metal reclaim is included in "Other current assets" and reclaims submitted for payment are included are included in "Other receivables"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are measured using the enacted statutory tax rates in effect for the years in which the differences are expected to reverse. A valuation allowance is provided against deferred tax assets to the extent the Company determines it is more likely than not (a likelihood of more than 50 percent) that some portion or all of its deferred tax assets will not be realized.</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 minimum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the Company’s policy to invest the earnings of foreign subsidiaries indefinitely outside the U.S. Accordingly, the Company does not record a deferred tax liability for U.S. income taxes on unremitted foreign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Under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30"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28, 2015, total remaining unearned compensation cost related to nonvested restricted stock units and options was $153.0 million, which will be amortized over the weighted-average remaining service period of approximately 1.3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financial statements of foreign subsidiaries have been translated into U.S. dollars in accordance with FASB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average exchange rates throughout the year. Translation adjustments are shown separately as a component of “Accumulated other comprehensive loss” within “Stockholders’ equity” in the Consolidated Balance Sheets. Foreign currency transaction gains or losses (transactions denominated in a currency other than the functional currency) are reported in “Other (expense) income” in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new authoritative guidance will become effective in the first quarter of fiscal 2018, using one of two retrospective methods of adoption. The Company has not determined which method it will adopt and is currently evaluating the effects the new guidance will have on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July 2013, the FASB issued ASU 2013-11, </w:t>
      </w:r>
      <w:r>
        <w:rPr>
          <w:rFonts w:ascii="Arial" w:cs="Arial" w:eastAsia="Arial" w:hAnsi="Arial"/>
          <w:sz w:val="18"/>
          <w:szCs w:val="18"/>
          <w:i w:val="1"/>
          <w:iCs w:val="1"/>
          <w:color w:val="auto"/>
        </w:rPr>
        <w:t>“Income Taxes (Topic 740): 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Carryforward, a Similar Tax Loss, or a Tax Credit Carryforward Exists.” </w:t>
      </w:r>
      <w:r>
        <w:rPr>
          <w:rFonts w:ascii="Arial" w:cs="Arial" w:eastAsia="Arial" w:hAnsi="Arial"/>
          <w:sz w:val="18"/>
          <w:szCs w:val="18"/>
          <w:color w:val="auto"/>
        </w:rPr>
        <w:t>ASU 2013-11 requires an unrecognized tax benefit, or a portion of an unrecognized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tax benefit, to be presented in the financial statements as a reduction of a deferred tax asset or a tax credit carryforward, excluding certain exceptions. This ASU was effective for the Company beginning in the first quarter of fiscal 2015 and the adoption did not have a material impact on the Company's consolidated financial statements.</w:t>
      </w:r>
    </w:p>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CONCENTRATIONS OF CREDIT RISK</w:t>
      </w:r>
    </w:p>
    <w:p>
      <w:pPr>
        <w:spacing w:after="0" w:line="22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from significant customers, those representing 10% or more of total revenue for the respective periods,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20" w:type="dxa"/>
            <w:vAlign w:val="bottom"/>
          </w:tcPr>
          <w:p>
            <w:pPr>
              <w:jc w:val="right"/>
              <w:ind w:right="610"/>
              <w:spacing w:after="0"/>
              <w:rPr>
                <w:sz w:val="20"/>
                <w:szCs w:val="20"/>
                <w:color w:val="auto"/>
              </w:rPr>
            </w:pPr>
            <w:r>
              <w:rPr>
                <w:rFonts w:ascii="Arial" w:cs="Arial" w:eastAsia="Arial" w:hAnsi="Arial"/>
                <w:sz w:val="18"/>
                <w:szCs w:val="18"/>
                <w:b w:val="1"/>
                <w:bCs w:val="1"/>
                <w:color w:val="auto"/>
              </w:rPr>
              <w:t>Fiscal Year</w:t>
            </w:r>
          </w:p>
        </w:tc>
        <w:tc>
          <w:tcPr>
            <w:tcW w:w="196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48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23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rPr>
              <w:t>2014</w:t>
            </w:r>
          </w:p>
        </w:tc>
        <w:tc>
          <w:tcPr>
            <w:tcW w:w="19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2013</w:t>
            </w:r>
          </w:p>
        </w:tc>
      </w:tr>
      <w:tr>
        <w:trPr>
          <w:trHeight w:val="237"/>
        </w:trPr>
        <w:tc>
          <w:tcPr>
            <w:tcW w:w="4860" w:type="dxa"/>
            <w:vAlign w:val="bottom"/>
          </w:tcPr>
          <w:p>
            <w:pPr>
              <w:ind w:left="360"/>
              <w:spacing w:after="0"/>
              <w:rPr>
                <w:sz w:val="20"/>
                <w:szCs w:val="20"/>
                <w:color w:val="auto"/>
              </w:rPr>
            </w:pPr>
            <w:r>
              <w:rPr>
                <w:rFonts w:ascii="Arial" w:cs="Arial" w:eastAsia="Arial" w:hAnsi="Arial"/>
                <w:sz w:val="18"/>
                <w:szCs w:val="18"/>
                <w:color w:val="auto"/>
              </w:rPr>
              <w:t>Samsung Electronics, Co., Ltd. (Samsung)</w:t>
            </w:r>
          </w:p>
        </w:tc>
        <w:tc>
          <w:tcPr>
            <w:tcW w:w="1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14%</w:t>
            </w:r>
          </w:p>
        </w:tc>
        <w:tc>
          <w:tcPr>
            <w:tcW w:w="23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rPr>
              <w:t>25%</w:t>
            </w:r>
          </w:p>
        </w:tc>
        <w:tc>
          <w:tcPr>
            <w:tcW w:w="196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22%</w:t>
            </w:r>
          </w:p>
        </w:tc>
      </w:tr>
      <w:tr>
        <w:trPr>
          <w:trHeight w:val="702"/>
        </w:trPr>
        <w:tc>
          <w:tcPr>
            <w:tcW w:w="4860" w:type="dxa"/>
            <w:vAlign w:val="bottom"/>
          </w:tcPr>
          <w:p>
            <w:pPr>
              <w:spacing w:after="0"/>
              <w:rPr>
                <w:sz w:val="24"/>
                <w:szCs w:val="24"/>
                <w:color w:val="auto"/>
              </w:rPr>
            </w:pPr>
          </w:p>
        </w:tc>
        <w:tc>
          <w:tcPr>
            <w:tcW w:w="1900" w:type="dxa"/>
            <w:vAlign w:val="bottom"/>
          </w:tcPr>
          <w:p>
            <w:pPr>
              <w:jc w:val="right"/>
              <w:ind w:right="870"/>
              <w:spacing w:after="0"/>
              <w:rPr>
                <w:sz w:val="20"/>
                <w:szCs w:val="20"/>
                <w:color w:val="auto"/>
              </w:rPr>
            </w:pPr>
            <w:r>
              <w:rPr>
                <w:rFonts w:ascii="Arial" w:cs="Arial" w:eastAsia="Arial" w:hAnsi="Arial"/>
                <w:sz w:val="18"/>
                <w:szCs w:val="18"/>
                <w:color w:val="auto"/>
              </w:rPr>
              <w:t>61</w:t>
            </w:r>
          </w:p>
        </w:tc>
        <w:tc>
          <w:tcPr>
            <w:tcW w:w="23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1380"/>
          </w:cols>
          <w:pgMar w:left="240" w:top="130" w:right="27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addition, the Company sold its products to another end customer through multiple contract manufacturers, which in the aggregate accounted for approximately 32%, 20% and 9% of total revenue in fiscal years 2015, 2014 and 2013, respectively. The majority of the revenue from these customers was from the sale of the Company’s mobile products.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Samsung accounted for approximately 7%, 25% and 29% of the Company's total accounts receivable balance as of March 28, 2015, March 29, 2014 and March 30, 2013,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March 28, 2015 and March 29,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238125</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3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380" w:type="dxa"/>
            <w:vAlign w:val="bottom"/>
          </w:tcPr>
          <w:p>
            <w:pPr>
              <w:jc w:val="right"/>
              <w:ind w:right="5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March 28, 2015</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government/agency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197,507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48,961</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293,385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6,589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299,540</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29, 2014</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133,064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133,065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48,800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48,800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184,014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March 28, 2015 and March 29, 2014. The Company determines the cost of an investment sold based on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gross realized gains and losses recognized on available-for-sale securities for both fiscal years 2015 and 2014 were insignificant.</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Unrealized losses on available-for-sale investments in a continuous loss position for fewer than 12 months as of March 28, 2015 were insignificant. There were no available-for-sale investments in a continuous unrealized loss position for fewer than 12 months as of March 29, 2014. There were no available-for-sale investments in a continuous unrealized loss position for 12 months or greater as of March 28, 2015 or as of March 29, 2014.</w:t>
      </w:r>
    </w:p>
    <w:p>
      <w:pPr>
        <w:spacing w:after="0" w:line="1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aggregate amount of available-for-sale securities in an unrealized loss position at March 28, 2015 was $112.9 million with $0.4 million in unrealized losses. There were no available-for-sale securities in an unrealized loss position as of March 29,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of investments in debt securities with contractual maturities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March 28, 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March 29, 2014</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Estimated</w:t>
            </w:r>
          </w:p>
        </w:tc>
        <w:tc>
          <w:tcPr>
            <w:tcW w:w="3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181,865</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291,791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291,365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184,014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 measures the fair value of its marketable securities, which are comprised of U.S. government/agency securities, corporate debt, marketable equity securities, auction rate securities (ARS), and money market funds. Marketable securities are reported in cash and cash equivalents, short-term investments and long-term investments on the Company’s Consolidated Balance Sheets and are recorded at fair value and the related unrealized gains and losses are included in "Accumulated other comprehensive loss," a component of stockholders’ equity, net of tax.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March 28,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29, 2014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Quoted Prices In</w:t>
            </w:r>
          </w:p>
        </w:tc>
        <w:tc>
          <w:tcPr>
            <w:tcW w:w="220" w:type="dxa"/>
            <w:vAlign w:val="bottom"/>
          </w:tcPr>
          <w:p>
            <w:pPr>
              <w:spacing w:after="0"/>
              <w:rPr>
                <w:sz w:val="14"/>
                <w:szCs w:val="14"/>
                <w:color w:val="auto"/>
              </w:rPr>
            </w:pPr>
          </w:p>
        </w:tc>
        <w:tc>
          <w:tcPr>
            <w:tcW w:w="158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5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28, 2015</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Available-for-sale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U.S. government/agency securities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197,507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197,507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43,147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43,147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Marketable equity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720"/>
              <w:spacing w:after="0"/>
              <w:rPr>
                <w:sz w:val="20"/>
                <w:szCs w:val="20"/>
                <w:color w:val="auto"/>
              </w:rPr>
            </w:pPr>
            <w:r>
              <w:rPr>
                <w:rFonts w:ascii="Arial" w:cs="Arial" w:eastAsia="Arial" w:hAnsi="Arial"/>
                <w:sz w:val="18"/>
                <w:szCs w:val="18"/>
                <w:color w:val="auto"/>
              </w:rPr>
              <w:t>Money market funds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48,961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48,961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available-for-sale securities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299,540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44,897</w:t>
            </w:r>
          </w:p>
        </w:tc>
        <w:tc>
          <w:tcPr>
            <w:tcW w:w="0" w:type="dxa"/>
            <w:vAlign w:val="bottom"/>
          </w:tcPr>
          <w:p>
            <w:pPr>
              <w:spacing w:after="0"/>
              <w:rPr>
                <w:sz w:val="1"/>
                <w:szCs w:val="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assets measured at fair value: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308,154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263,257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44,897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960"/>
              <w:spacing w:after="0"/>
              <w:rPr>
                <w:sz w:val="20"/>
                <w:szCs w:val="20"/>
                <w:color w:val="auto"/>
              </w:rPr>
            </w:pPr>
            <w:r>
              <w:rPr>
                <w:rFonts w:ascii="Arial" w:cs="Arial" w:eastAsia="Arial" w:hAnsi="Arial"/>
                <w:sz w:val="18"/>
                <w:szCs w:val="18"/>
                <w:b w:val="1"/>
                <w:bCs w:val="1"/>
                <w:color w:val="auto"/>
              </w:rPr>
              <w:t>Total liabilities measured at fair value: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8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March 29, 2014</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500"/>
              <w:spacing w:after="0"/>
              <w:rPr>
                <w:sz w:val="20"/>
                <w:szCs w:val="20"/>
                <w:color w:val="auto"/>
              </w:rPr>
            </w:pPr>
            <w:r>
              <w:rPr>
                <w:rFonts w:ascii="Arial" w:cs="Arial" w:eastAsia="Arial" w:hAnsi="Arial"/>
                <w:sz w:val="18"/>
                <w:szCs w:val="18"/>
                <w:color w:val="auto"/>
              </w:rPr>
              <w:t>Available for-sale securities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U.S. government/agency securities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133,065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96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Money market funds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8"/>
                <w:szCs w:val="18"/>
                <w:color w:val="auto"/>
              </w:rPr>
              <w:t>Total available for-sale securities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184,015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181,865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960"/>
              <w:spacing w:after="0" w:line="196" w:lineRule="exact"/>
              <w:rPr>
                <w:sz w:val="20"/>
                <w:szCs w:val="20"/>
                <w:color w:val="auto"/>
              </w:rPr>
            </w:pPr>
            <w:r>
              <w:rPr>
                <w:rFonts w:ascii="Arial" w:cs="Arial" w:eastAsia="Arial" w:hAnsi="Arial"/>
                <w:sz w:val="18"/>
                <w:szCs w:val="18"/>
                <w:b w:val="1"/>
                <w:bCs w:val="1"/>
                <w:color w:val="auto"/>
              </w:rPr>
              <w:t>Total assets measured at fair value: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184,015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8"/>
        <w:spacing w:after="0" w:line="275"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ectPr>
          <w:pgSz w:w="11900" w:h="16838" w:orient="portrait"/>
          <w:cols w:equalWidth="0" w:num="1">
            <w:col w:w="11360"/>
          </w:cols>
          <w:pgMar w:left="240" w:top="130" w:right="299" w:bottom="1440" w:gutter="0" w:footer="0" w:header="0"/>
        </w:sectPr>
      </w:pP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60"/>
          </w:cols>
          <w:pgMar w:left="240" w:top="130" w:right="29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42" w:lineRule="exact"/>
        <w:rPr>
          <w:sz w:val="20"/>
          <w:szCs w:val="20"/>
          <w:color w:val="auto"/>
        </w:rPr>
      </w:pPr>
    </w:p>
    <w:p>
      <w:pPr>
        <w:ind w:right="540" w:firstLine="8"/>
        <w:spacing w:after="0" w:line="255"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debt includes corporate bonds and commercial paper which are valued using observable market prices for identical securities that are traded in less active markets.</w:t>
      </w:r>
    </w:p>
    <w:p>
      <w:pPr>
        <w:spacing w:after="0" w:line="1" w:lineRule="exact"/>
        <w:rPr>
          <w:rFonts w:ascii="Arial" w:cs="Arial" w:eastAsia="Arial" w:hAnsi="Arial"/>
          <w:sz w:val="16"/>
          <w:szCs w:val="16"/>
          <w:color w:val="auto"/>
        </w:rPr>
      </w:pPr>
    </w:p>
    <w:p>
      <w:pPr>
        <w:ind w:right="40" w:firstLine="8"/>
        <w:spacing w:after="0" w:line="250" w:lineRule="auto"/>
        <w:tabs>
          <w:tab w:leader="none" w:pos="2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non-qualified deferred compensation plan provides eligible employees and members of the Board of Directors with the opportunity to defer a specified percentage of their cash compensation. The Company includes the asset deferred by the participants in the “Other current assets” and “Other non-current assets” line items of its Consolidated Balance Sheets and the Company's obligation to deliver the deferred compensation in the "Other current liabilities" and “Other long-term liabilities” line items of its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2015 and March 29, 2014,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non-financial assets, such as intangible assets and property and equipment, are measured at fair value when there is an indicator of impairment, and recorded at fair value only when an impairment charge is recognized (see Note 7 for an IPRD impairment recorded in the fourth quarter of fiscal 2014). During the first quarter of fiscal 2014, the Company recorded a $1.7 million impairment of certain property and equipment as a result of the phase out of manufacturing and the then-pending sale of its U.K. manufacturing facility. As of June 29, 2013, the fair value of these impaired assets was estimated to be $0.8 million using a significant Level 3 unobservable input (market valuation approach). The market valuation approach uses prices and other relevant information generated primarily by recent market transactions involving similar or comparable assets, as well as the Company's experience. During the second quarter of fiscal 2014, the Company sold its U.K. manufacturing facility, which resulted in a loss on these impaired assets of $0.6 million.</w:t>
      </w:r>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Consolidated Balance Sheet as of March 28, 2015, includes non-financial assets and liabilities measured at fair value as a result of the Business Combination (see Note 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Fiscal Year</w:t>
            </w:r>
          </w:p>
        </w:tc>
        <w:tc>
          <w:tcPr>
            <w:tcW w:w="12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71,863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137,306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51,544</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137,731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41,232</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346,900</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125,703</w:t>
            </w:r>
          </w:p>
        </w:tc>
      </w:tr>
      <w:tr>
        <w:trPr>
          <w:trHeight w:val="27"/>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total inventory balance at March 28, 2015, increased approximately $221.2 million as compared to the balance at the end of fiscal 2014, with $175.2 million of the increase resulting from the inclusion of TriQuint's inventory balance as of March 28, 2015.</w:t>
      </w:r>
    </w:p>
    <w:p>
      <w:pPr>
        <w:spacing w:after="0" w:line="200" w:lineRule="exact"/>
        <w:rPr>
          <w:sz w:val="20"/>
          <w:szCs w:val="20"/>
          <w:color w:val="auto"/>
        </w:rPr>
      </w:pPr>
    </w:p>
    <w:p>
      <w:pPr>
        <w:spacing w:after="0" w:line="2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BUSINESS 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between RFMD and TriQuint Semiconductor, Inc. ("TriQuint")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Business Combination, RFMD and TriQuint have combined complementary product portfolios, featuring power amplifiers (PAs), power management integrated circuits (PMICs), antenna control solutions, switch-based products and premium filters, to deliver a comprehensive portfolio of high-performance mobile solutions. It is expected that the Business Combination will continue to strengthen the combined company’s service to the infrastructure and defense/aerospace industries and enable advanced gallium nitride (GaN) solutions for additional markets and applications. It is also expected that customers will benefit from new scale advantages in manufacturing and research and development, as well as an aggressive roadmap of new products and technologies.</w:t>
      </w:r>
    </w:p>
    <w:p>
      <w:pPr>
        <w:spacing w:after="0" w:line="15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parties effected the Business Combination by (i) merging a newly-formed direct subsidiary of Qorvo with and into TriQuint, with TriQuint surviving the merger as a wholly owned direct subsidiary of Qorvo (such merger, the “TriQuint Merger”); and (ii) merging a newly-formed direct subsidiary of Qorvo with and into RFMD, with RFMD surviving the merger as a wholly owned direct subsidiary of Qorvo (the “RFMD Merger”).</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the terms of the Merger Agreement, at the effective time of the RFMD Merger (the “RFMD Merger Effective Time”), by virtue of the RFMD Merger and without any action on the part of any stockholder, each share of common stock of RFMD, no par value per share (“RFMD Common Stock”), was converted into the right to receive 0.25 of a share of common stock, par value $0.0001 per share, of Qorvo (the exchange ratio of one share of RFMD Common Stock for 0.25 of a share of Qorvo Common Stock, the “RFMD Conversion Ratio”) plus cash in lieu of fractional shares. The Merger Agreement provided that, at the RFMD Merger Effective Time, all RFMD equity awards as of immediately prior to the RFMD Merger Effective Time were assumed by Qorvo, except that such equity awards as were exercisable for or may be settled in shares of RFMD Common Stock became exercisable for or may be settled in shares of Qorvo Common Stock based on the RFMD Conversion Ratio.</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the terms of the Merger Agreement, at the effective time of the TriQuint Merger (the “TriQuint Merger Effective Time”), by virtue of the TriQuint Merger and without any action on the part of any stockholder, each share of common stock of TriQuint, $0.001 par value per share (“TriQuint Common Stock”), was converted into the right to receive 0.4187 of a share of Qorvo Common Stock (the exchange ratio of one share of TriQuint Common Stock for</w:t>
      </w:r>
    </w:p>
    <w:p>
      <w:pPr>
        <w:ind w:right="120"/>
        <w:spacing w:after="0" w:line="295" w:lineRule="auto"/>
        <w:rPr>
          <w:sz w:val="20"/>
          <w:szCs w:val="20"/>
          <w:color w:val="auto"/>
        </w:rPr>
      </w:pPr>
      <w:r>
        <w:rPr>
          <w:rFonts w:ascii="Arial" w:cs="Arial" w:eastAsia="Arial" w:hAnsi="Arial"/>
          <w:sz w:val="16"/>
          <w:szCs w:val="16"/>
          <w:color w:val="auto"/>
        </w:rPr>
        <w:t>0.4187 of a share of Qorvo Common Stock, the “TriQuint Conversion Ratio” and, together with the RFMD Conversion Ratio, the “Conversion Ratios”) plus cash in lieu of fractional shares. The Merger Agreement provided that, at the TriQuint Merger Effective Time, all TriQuint equity awards as of immediately prior to the TriQuint Merger Effective Time were assumed by Qorvo, except that such equity awards as were exercisable for or may be settled in shares of TriQuint Common Stock became exercisable for or may be settled in shares of Qorvo Common Stock based on the TriQuint Conversion Ratio.</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RFMD Merger Effective Time occurred immediately after the TriQuint Merger Effective Time. At the closing of the transaction, the effect of the application of the Conversion Ratios constituted a one-for-four reverse stock split of the issued and outstanding shares of RFMD Common Stock and TriQuint Common Stock. All share and per share information contained in the accompanying Consolidated Financial Statements and Notes to the Consolidated Financial Statements have been retroactively adjusted to reflect the reverse stock split for all periods presented.</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RFMD Common Stock and the TriQuint Common Stock were voluntarily delisted from the NASDAQ Stock Market in connection with the Business Combination. The Qorvo Common Stock is now trading on the NASDAQ Global Select Market under the ticker symbol “QRVO”.</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an evaluation of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RFMD was determined to be the acquirer for accounting purposes. Under FASB ASC Topic 805, RFMD is treated as having acquired TriQuint in an all-stock transaction for an estimated total purchase price of approximately $5,254.4 million. The calculation of the total purchase price is based on the outstanding shares of TriQuint Common Stock as of the acquisition date multiplied by the exchange ratio of 1.6749, and the resulting shares are then adjusted by the one-for-four reverse stock split and multiplied by the Qorvo split-adjusted share price of $66.36 on the date of acquisition. The purchase price also includes the fair value of replacement equity awards attributable to service prior to the closing of the Business Combination, which is estimated based on the ratio of the service period rendered as of the acquisition date to the total service period.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total purchase price was preliminarily allocated to TriQuint's assets and liabilities based upon fair values as determined by the Company,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224,324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40,371</w:t>
            </w:r>
          </w:p>
        </w:tc>
      </w:tr>
      <w:tr>
        <w:trPr>
          <w:trHeight w:val="27"/>
        </w:trPr>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187,058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218,433</w:t>
            </w:r>
          </w:p>
        </w:tc>
      </w:tr>
      <w:tr>
        <w:trPr>
          <w:trHeight w:val="27"/>
        </w:trPr>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84,389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591,895</w:t>
            </w:r>
          </w:p>
        </w:tc>
      </w:tr>
      <w:tr>
        <w:trPr>
          <w:trHeight w:val="27"/>
        </w:trPr>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 xml:space="preserve">Intangible assets </w:t>
            </w:r>
            <w:r>
              <w:rPr>
                <w:rFonts w:ascii="Arial" w:cs="Arial" w:eastAsia="Arial" w:hAnsi="Arial"/>
                <w:sz w:val="18"/>
                <w:szCs w:val="18"/>
                <w:i w:val="1"/>
                <w:iCs w:val="1"/>
                <w:color w:val="auto"/>
                <w:shd w:val="clear" w:color="auto" w:fill="CCEEFF"/>
              </w:rPr>
              <w:t>(Note 7)</w:t>
            </w: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2,394,000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2,036,685</w:t>
            </w:r>
          </w:p>
        </w:tc>
      </w:tr>
      <w:tr>
        <w:trPr>
          <w:trHeight w:val="27"/>
        </w:trPr>
        <w:tc>
          <w:tcPr>
            <w:tcW w:w="9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5,777,155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(522,788)</w:t>
            </w:r>
          </w:p>
        </w:tc>
      </w:tr>
      <w:tr>
        <w:trPr>
          <w:trHeight w:val="27"/>
        </w:trPr>
        <w:tc>
          <w:tcPr>
            <w:tcW w:w="9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5,254,367</w:t>
            </w:r>
          </w:p>
        </w:tc>
      </w:tr>
      <w:tr>
        <w:trPr>
          <w:trHeight w:val="20"/>
        </w:trPr>
        <w:tc>
          <w:tcPr>
            <w:tcW w:w="9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allocation of the purchase price reflected in the accompanying financial statements is preliminary and is based upon estimates and assumptions that are subject to change within the measurement period (up to one year from the acquisition date pursuant to ASC 805). The measurement period remains open pending the completion of valuation procedures related to the acquired assets and assumed liabilities. The $2,036.7 million allocated to goodwill represents the excess of the purchase price over the fair value of assets acquired and liabilities assumed, which amount has been allocated to the Company's MP operating segment ($1,745.5 million) and IDP operating segment ($291.2 million), and it is not deductible for income tax purposes.</w:t>
      </w:r>
    </w:p>
    <w:p>
      <w:pPr>
        <w:spacing w:after="0" w:line="158"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TriQuint's results of operations, which include revenue of $259.5 million and a net loss of $132.5 million, are included in the Company’s Consolidated Statements of Operations for the period of January 1, 2015 through March 28, 2015. The net loss includes adjustments for amortization expense of the acquired intangible assets, inventory step-up, stock-based compensation related to the Business Combination and restructuring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the Company incurred acquisition costs of $12.2 million and integration costs of $31.3 million associated with the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2014, the Company incurred acquisition-related costs of $5.1 million associated with the Business Combination.</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acquisition and integration costs are being expensed as incurred and are presented in the Consolidated Statements of Operations as "Other operating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unaudited pro forma consolidated financial information for fiscal years 2015 and 2014 assumes that the acquisition of TriQuint was completed as of March 31, 2013:</w:t>
      </w:r>
    </w:p>
    <w:p>
      <w:pPr>
        <w:spacing w:after="0" w:line="112"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5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2,556,045</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2,037,466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30,447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(475,219)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0.21</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0.20</w:t>
            </w: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5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 forma revenue includes adjustments for the purchases by RFMD of various products from TriQuint. These results are not intended to be a projection of future results and do not reflect the actual revenue that might have been achieved by Qorvo. Pro forma net loss income (loss) includes adjustments for amortization expense of acquired intangible assets, stock-based compensation, acquisition-related costs, and an adjustment for income taxes.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pro forma results have been prepared for comparative purposes only and do not purport to be indicative of the revenue or operating results that would have been achieved had the acquisition actually taken place as of March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2013. In addition, these results are not intended to be a projection of future results and do not reflect synergies that might be achieved from the combined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Amalfi Semiconductor, Inc.</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November 9, 2012, the Company completed its acquisition of Amalfi Semiconductor, Inc. ("Amalfi"). The Company acquired 100% of the outstanding equity securities of Amalfi for a total purchase price of approximately $48.4 million, net of cash received of $37.6 million (adjusted for working capital adjustments and holdback reserves). Amalfi's results of operations (revenue of $16.5 million and an operating loss of $9.5 million) are included in the Company’s Consolidated Statements of Operations for the period of November 9, 2012 through March 30, 2013.</w:t>
      </w:r>
    </w:p>
    <w:p>
      <w:pPr>
        <w:spacing w:after="0" w:line="171" w:lineRule="exact"/>
        <w:rPr>
          <w:sz w:val="20"/>
          <w:szCs w:val="20"/>
          <w:color w:val="auto"/>
        </w:rPr>
      </w:pPr>
    </w:p>
    <w:p>
      <w:pPr>
        <w:jc w:val="both"/>
        <w:ind w:right="780"/>
        <w:spacing w:after="0" w:line="259" w:lineRule="auto"/>
        <w:rPr>
          <w:sz w:val="20"/>
          <w:szCs w:val="20"/>
          <w:color w:val="auto"/>
        </w:rPr>
      </w:pPr>
      <w:r>
        <w:rPr>
          <w:rFonts w:ascii="Arial" w:cs="Arial" w:eastAsia="Arial" w:hAnsi="Arial"/>
          <w:sz w:val="18"/>
          <w:szCs w:val="18"/>
          <w:color w:val="auto"/>
        </w:rPr>
        <w:t>During fiscal 2013, the Company recorded Amalfi acquisition-related costs of approximately $1.5 million as well as approximately $1.3 million of restructuring costs (for employee termination benefits and lease termination costs) in “Other operating expense” on the Consolidated Statements of Operations. In fiscal 2014, restructuring expenses related to the completion of the restructuring efforts associated with the Amalfi acquisition were immaterial.</w:t>
      </w:r>
    </w:p>
    <w:p>
      <w:pPr>
        <w:spacing w:after="0" w:line="399"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ASSET TRANSFER TRANSACTION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fiscal 2013, the Company entered into an asset transfer agreement with IQE, Inc. ("IQE") under which it transferred its MBE operations (located in Greensboro, N.C.) to IQE. The assets transferred to IQE had a total book value of approximately $24.4 million and included the Company’s leasehold interest in the real property, building and improvements used for the facility and machinery and equipment located in the facility, all of which were written off during the first quarter of fiscal 2013. In addition, the Company wrote-off approximately $1.0 million of IDP-related goodwill as a result of this transaction.</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conjunction with the asset transfer agreement, the Company and IQE entered into a wafer supply agreement under which IQE supplies the Company with wafer starting materials. This wafer supply agreement, which is recorded as an intangible asset on the Company’s Consolidated Balance Sheets, provides the Company with competitive wafer pricing through March 31, 2016 (see Note 1 and Note 7).</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years 2014 and 2015, are as follows (in thousands):</w:t>
      </w:r>
    </w:p>
    <w:p>
      <w:pPr>
        <w:spacing w:after="0" w:line="375"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30, 2013</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104,846</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Written off due to sale of the U.K. facility</w:t>
            </w:r>
          </w:p>
        </w:tc>
        <w:tc>
          <w:tcPr>
            <w:tcW w:w="1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7"/>
        </w:trPr>
        <w:tc>
          <w:tcPr>
            <w:tcW w:w="7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Amalfi acquisition adjustments</w:t>
            </w:r>
          </w:p>
        </w:tc>
        <w:tc>
          <w:tcPr>
            <w:tcW w:w="1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Balance as of March 29, 2014</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103,901</w:t>
            </w:r>
          </w:p>
        </w:tc>
      </w:tr>
      <w:tr>
        <w:trPr>
          <w:trHeight w:val="27"/>
        </w:trPr>
        <w:tc>
          <w:tcPr>
            <w:tcW w:w="7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resulting from Business Combination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2,036,685</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 xml:space="preserve">Balance as of March 28, 2015 </w:t>
            </w:r>
            <w:r>
              <w:rPr>
                <w:rFonts w:ascii="Arial" w:cs="Arial" w:eastAsia="Arial" w:hAnsi="Arial"/>
                <w:sz w:val="14"/>
                <w:szCs w:val="14"/>
                <w:color w:val="auto"/>
              </w:rPr>
              <w:t>(1)</w:t>
            </w: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2,140,586</w:t>
            </w:r>
          </w:p>
        </w:tc>
      </w:tr>
      <w:tr>
        <w:trPr>
          <w:trHeight w:val="20"/>
        </w:trPr>
        <w:tc>
          <w:tcPr>
            <w:tcW w:w="7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80" w:right="100" w:hanging="72"/>
        <w:spacing w:after="0" w:line="275" w:lineRule="auto"/>
        <w:tabs>
          <w:tab w:leader="none" w:pos="2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of March 28, 2015, the Company’s goodwill balance of $2,140.6 million was comprised of gross goodwill of $2,762.2 million less accumulated impairment losses and write-offs of $621.6 million.</w:t>
      </w:r>
    </w:p>
    <w:p>
      <w:pPr>
        <w:spacing w:after="0" w:line="14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Effective January 1, 2015, pursuant to the Merger Agreement, RFMD and TriQuint completed the Business Combination, which resulted in goodwill of $2,036.7 million (see Note 5).</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Goodwill is allocated to the reporting units that are expected to benefit from the synergies of the business combinations generating the underlying goodwill. As of March 28, 2015, $1,755.7 million and $384.9 million of the Company’s goodwill balance was allocated to its MP reporting unit and IDP reporting unit, respectively.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30" w:right="27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5"/>
          </w:tcPr>
          <w:p>
            <w:pPr>
              <w:ind w:left="820"/>
              <w:spacing w:after="0"/>
              <w:rPr>
                <w:sz w:val="20"/>
                <w:szCs w:val="20"/>
                <w:color w:val="auto"/>
              </w:rPr>
            </w:pPr>
            <w:r>
              <w:rPr>
                <w:rFonts w:ascii="Arial" w:cs="Arial" w:eastAsia="Arial" w:hAnsi="Arial"/>
                <w:sz w:val="18"/>
                <w:szCs w:val="18"/>
                <w:b w:val="1"/>
                <w:bCs w:val="1"/>
                <w:color w:val="auto"/>
              </w:rPr>
              <w:t>March 28, 2015</w:t>
            </w:r>
          </w:p>
        </w:tc>
        <w:tc>
          <w:tcPr>
            <w:tcW w:w="280" w:type="dxa"/>
            <w:vAlign w:val="bottom"/>
          </w:tcPr>
          <w:p>
            <w:pPr>
              <w:spacing w:after="0"/>
              <w:rPr>
                <w:sz w:val="20"/>
                <w:szCs w:val="20"/>
                <w:color w:val="auto"/>
              </w:rPr>
            </w:pPr>
          </w:p>
        </w:tc>
        <w:tc>
          <w:tcPr>
            <w:tcW w:w="308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March 29, 2014</w:t>
            </w:r>
          </w:p>
        </w:tc>
      </w:tr>
      <w:tr>
        <w:trPr>
          <w:trHeight w:val="27"/>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IPRD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470,000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N/A</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10,701</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10,418</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1,267,103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99,471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47,103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26,391</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712,163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124,028</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78,540</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20,443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16,059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20,443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11,376</w:t>
            </w:r>
          </w:p>
        </w:tc>
      </w:tr>
      <w:tr>
        <w:trPr>
          <w:trHeight w:val="27"/>
        </w:trPr>
        <w:tc>
          <w:tcPr>
            <w:tcW w:w="4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16,250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2,576,155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268,926</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126,725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a result of the Business Combination, intangible assets increased by $2,394.0 million. The following table sets forth the components of these intangible assets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 Average Useful</w:t>
            </w:r>
          </w:p>
        </w:tc>
      </w:tr>
      <w:tr>
        <w:trPr>
          <w:trHeight w:val="234"/>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Fair Value</w:t>
            </w:r>
          </w:p>
        </w:tc>
        <w:tc>
          <w:tcPr>
            <w:tcW w:w="4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Lives (years)</w:t>
            </w:r>
          </w:p>
        </w:tc>
      </w:tr>
      <w:tr>
        <w:trPr>
          <w:trHeight w:val="27"/>
        </w:trPr>
        <w:tc>
          <w:tcPr>
            <w:tcW w:w="6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IPRD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470,000</w:t>
            </w:r>
          </w:p>
        </w:tc>
        <w:tc>
          <w:tcPr>
            <w:tcW w:w="4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43"/>
        </w:trPr>
        <w:tc>
          <w:tcPr>
            <w:tcW w:w="638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44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1,220,000</w:t>
            </w:r>
          </w:p>
        </w:tc>
        <w:tc>
          <w:tcPr>
            <w:tcW w:w="2720" w:type="dxa"/>
            <w:vAlign w:val="bottom"/>
            <w:gridSpan w:val="2"/>
          </w:tcPr>
          <w:p>
            <w:pPr>
              <w:jc w:val="center"/>
              <w:ind w:left="350"/>
              <w:spacing w:after="0"/>
              <w:rPr>
                <w:sz w:val="20"/>
                <w:szCs w:val="20"/>
                <w:color w:val="auto"/>
              </w:rPr>
            </w:pPr>
            <w:r>
              <w:rPr>
                <w:rFonts w:ascii="Arial" w:cs="Arial" w:eastAsia="Arial" w:hAnsi="Arial"/>
                <w:sz w:val="18"/>
                <w:szCs w:val="18"/>
                <w:color w:val="auto"/>
                <w:w w:val="95"/>
              </w:rPr>
              <w:t>4.6</w:t>
            </w:r>
          </w:p>
        </w:tc>
      </w:tr>
      <w:tr>
        <w:trPr>
          <w:trHeight w:val="27"/>
        </w:trPr>
        <w:tc>
          <w:tcPr>
            <w:tcW w:w="6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4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610,000</w:t>
            </w:r>
          </w:p>
        </w:tc>
        <w:tc>
          <w:tcPr>
            <w:tcW w:w="27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5"/>
              </w:rPr>
              <w:t>4.8</w:t>
            </w:r>
          </w:p>
        </w:tc>
      </w:tr>
      <w:tr>
        <w:trPr>
          <w:trHeight w:val="243"/>
        </w:trPr>
        <w:tc>
          <w:tcPr>
            <w:tcW w:w="638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44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29,000</w:t>
            </w:r>
          </w:p>
        </w:tc>
        <w:tc>
          <w:tcPr>
            <w:tcW w:w="2720" w:type="dxa"/>
            <w:vAlign w:val="bottom"/>
            <w:gridSpan w:val="2"/>
          </w:tcPr>
          <w:p>
            <w:pPr>
              <w:jc w:val="center"/>
              <w:ind w:left="350"/>
              <w:spacing w:after="0"/>
              <w:rPr>
                <w:sz w:val="20"/>
                <w:szCs w:val="20"/>
                <w:color w:val="auto"/>
              </w:rPr>
            </w:pPr>
            <w:r>
              <w:rPr>
                <w:rFonts w:ascii="Arial" w:cs="Arial" w:eastAsia="Arial" w:hAnsi="Arial"/>
                <w:sz w:val="18"/>
                <w:szCs w:val="18"/>
                <w:color w:val="auto"/>
                <w:w w:val="95"/>
              </w:rPr>
              <w:t>3.0</w:t>
            </w:r>
          </w:p>
        </w:tc>
      </w:tr>
      <w:tr>
        <w:trPr>
          <w:trHeight w:val="27"/>
        </w:trPr>
        <w:tc>
          <w:tcPr>
            <w:tcW w:w="6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Backlog</w:t>
            </w:r>
          </w:p>
        </w:tc>
        <w:tc>
          <w:tcPr>
            <w:tcW w:w="4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272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5"/>
              </w:rPr>
              <w:t>1.0</w:t>
            </w: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2,394,000</w:t>
            </w:r>
          </w:p>
        </w:tc>
        <w:tc>
          <w:tcPr>
            <w:tcW w:w="46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0"/>
        </w:trPr>
        <w:tc>
          <w:tcPr>
            <w:tcW w:w="6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right="80"/>
        <w:spacing w:after="0" w:line="287" w:lineRule="auto"/>
        <w:rPr>
          <w:sz w:val="20"/>
          <w:szCs w:val="20"/>
          <w:color w:val="auto"/>
        </w:rPr>
      </w:pPr>
      <w:r>
        <w:rPr>
          <w:rFonts w:ascii="Arial" w:cs="Arial" w:eastAsia="Arial" w:hAnsi="Arial"/>
          <w:sz w:val="16"/>
          <w:szCs w:val="16"/>
          <w:color w:val="auto"/>
        </w:rPr>
        <w:t>The Business Combination resulted in the recognition of $120.3 million of incremental intangible asset amortization expense during fiscal 2015 (of which $49.6 million was recorded in "Cost of goods sold" and $70.7 million was recorded in "Marketing and selling"). IPRD is not subject to amortization until completion or abandonment of the associated research and development effort. The IPRD acquired in the Business Combination of $470.0 million relates to the MP operating segment ($350.0 million) and the IDP operating segment ($120.0 million), and encompasses a broad technology portfolio of product innovations in RF applications for MP and IDP products. These technologies include a variety of semiconductor processes in GaAs and GaN for power and switching applications and SAW and BAW structures for filter applications. Included in IPRD are continuous improvements in the process for design and manufacturing as well as innovation in fundamental research areas such as materials, simulation and modeling, circuit design, device packaging and test. As of March 28, 2015, IPRD for the MP operating segment was 45% complete with an estimated completion time of approximately 11 months and a remaining cost to complete of approximately $82.0 million. As of March 28, 2015, the IPRD associated with the IDP operating segment was 68% complete with an estimated completion time of approximately 8 months and a remaining cost to complete of approximately $17.0 million. Upon completion of the development, acquired IPRD assets will be transferred to finite-lived intangible assets and amortized over its useful life.</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fourth quarter of fiscal 2014, the Company initiated a restructuring effort to reduce operating expenses (see Note 11 for further information on the restructuring). As part of this restructuring, the Company discontinued engineering efforts on an in-process research and development project acquired for MP as part of the acquisition of Amalfi and an impairment charge of $11.3 million was recorded in "Other operating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$142.7 million, $28.6 million and $23.1 million in fiscal years 2015, 2014 and 2013,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provides the Company's estimated future amortization expense based on current amortization periods for the periods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194"/>
        </w:trPr>
        <w:tc>
          <w:tcPr>
            <w:tcW w:w="9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Fiscal Year</w:t>
            </w:r>
          </w:p>
        </w:tc>
        <w:tc>
          <w:tcPr>
            <w:tcW w:w="180" w:type="dxa"/>
            <w:vAlign w:val="bottom"/>
          </w:tcPr>
          <w:p>
            <w:pPr>
              <w:spacing w:after="0"/>
              <w:rPr>
                <w:sz w:val="16"/>
                <w:szCs w:val="16"/>
                <w:color w:val="auto"/>
              </w:rPr>
            </w:pPr>
          </w:p>
        </w:tc>
        <w:tc>
          <w:tcPr>
            <w:tcW w:w="136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6"/>
              </w:rPr>
              <w:t>Expense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477,146</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424,870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421,579</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335,319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101,880</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2007, the Company issued $200 million aggregate principal amount of 0.75% convertible subordinated notes due 2012 (the “2012 Notes”) and $175 million aggregate principal amount of 1.00% convertible subordinated notes due 2014 (the “2014 Notes” and, together with the 2012 Notes, the “Notes”). During fiscal 2013, the Company redeemed the remaining $26.5 million principal balance of its 2012 Notes and $47.4 million original principal amount of its 2014 Notes, which resulted in a loss of $2.8 million. The 2014 Notes became due on April 15, 2014, and the remaining principal balance of $87.5 million plus interest of $0.4 million was paid with cash on hand.</w:t>
      </w:r>
    </w:p>
    <w:p>
      <w:pPr>
        <w:spacing w:after="0" w:line="188"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At March 29, 2014, the carrying amount of the equity component of the 2012 Notes and 2014 Notes was $20.0 million and $33.2 million, respectively. The principal amount, unamortized discount, and net carrying value of the liability components of the 2014 Notes were $87.5 million, $(0.2) million and $87.3 million, respectively, as of March 29, 2014. The effective interest rates for the liability components were 7.3% for the 2012 Notes during fiscal 2013 and</w:t>
      </w:r>
    </w:p>
    <w:p>
      <w:pPr>
        <w:ind w:right="20"/>
        <w:spacing w:after="0" w:line="323" w:lineRule="auto"/>
        <w:rPr>
          <w:sz w:val="20"/>
          <w:szCs w:val="20"/>
          <w:color w:val="auto"/>
        </w:rPr>
      </w:pPr>
      <w:r>
        <w:rPr>
          <w:rFonts w:ascii="Arial" w:cs="Arial" w:eastAsia="Arial" w:hAnsi="Arial"/>
          <w:sz w:val="16"/>
          <w:szCs w:val="16"/>
          <w:color w:val="auto"/>
        </w:rPr>
        <w:t>7.2% for the 2014 Notes during fiscal years 2014 and 2013. Interest expense on the liability component of the Notes was $0.9 million and $1.0 million during fiscal years 2014 and 2013, respectively, and amortization of the discount was $5.2 million and $5.8 million during fiscal years 2014 and 2013,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March 29, 2014, the 2014 Notes had a fair value on the PORTAL Market of $88.7 million, compared to a carrying value of $87.3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March 2013, the Company and certain material domestic subsidiaries of the Company entered into a four-year senior credit facility with Bank of America, N.A., as Administrative Agent and a lender, and a syndicate of other lenders (the “Credit Facility”). The Credit Facility included a $125.0 million revolving credit facility, which included a $5.0 million sublimit for the issuance of standby letters of credit and a $5.0 million sublimit for swingline loans. The Company could request, at any time and from time to time, that the revolving credit facility be increased by an amount not to exceed $50.0 million. On March 26, 2015, the Company terminated its Credit Facility. No borrowings were ever made under the Credit Facility and no early termination penalty was incurred by the Company in connection with such termination. The Credit Facility was terminated in anticipation of the Company entering into a new, larger revolving credit facility, which the Company entered into on April 7, 2015 (see Note 18).</w:t>
      </w:r>
    </w:p>
    <w:p>
      <w:pPr>
        <w:spacing w:after="0" w:line="174"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offers tax-beneficial retirement contribution plans to eligible employees in the U.S and certain other countries. Eligible employees in certain countries outside of the U.S. are eligible to participate in stakeholder or national pension plans with differing eligibility and contributory requirements based on local and national regulations. As a result of the Business Combination, each U.S. employee is eligible to participate in one of the Company’s two fully qualified 401(k) plans immediately upon hire. An employee may invest pretax earnings in the 401(k) plan up to the maximum legal limits (as defined by Federal regulations). Employer contributions to the 401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30"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4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plans are made at the discretion of the Company’s Board of Directors and are fully vested to U.S. employees after completion of two continuous years of service.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total, the Company contributed $6.5 million, $5.5 million and $5.4 million to its domestic and foreign defined contribution plans during fiscal years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Business Combination, the Company maintains two qualified defined benefit pension plans for its subsidiaries located in Germany. One of the plans is funded through a self-paid reinsurance program with $3.2 million of assets valued as on March 28, 2015. Assets of the funded plan are included in "Other non-current assets" in the Consolidated Balance Sheets. The net periodic benefit obligations of both plans was $12.2 million and $5.5 million as of March 28, 2015 and March 29, 2014, respectively, which is included in “Accrued liabilities” and “Other long-term liabilities” in the Consolidated Balance Sheets. The assumptions used in calculating the benefit obligations for the plans are dependent on the local economic conditions and were measured as of March 28, 2015 and March 29, 2014. The net periodic benefit costs were approximately $0.4 million for fiscal year 2015 and $0.3 million for fiscal years 2014 and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employees and members of the Board of Directors are eligible to participate in the Company's Non-Qualified Deferred Compensation Plan (the "Plan") which was assumed, amended and restated by Qorvo on January 1, 2015 as a result of the Business Combination. The Plan provides eligible participants the opportunity to defer and invest a specified percentage of their cash compensation. The deferred compensation plan is a non-qualified plan that is maintained in a rabbi trust. The amount of compensation to be deferred by each participant is based on their own elections and is adjusted for any investment changes that the participant directs. The deferred compensation obligation and the fair value of the investments held in the rabbi trust were $8.6 million as of March 28, 2015. The $5.3 million current portion and $3.3 million non-current portion of the deferred compensation obligation and fair value of the assets held in the rabbi trust are included in "Other current assets," "Accrued liabilities," "Other non-current assets" and "Other long-term liabilities" in the Consolidated Balance Sheets.</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CONTINGENT LIABILITIES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leases certain of its corporate, wafer fabrication and other facilities from multiple third-party real estate developers. The remaining terms of these operating leases range from less than one year to 13 years. Several have renewal options of up to two, ten-year periods and several also include standard inflation escalation terms. Several also include rent escalation, rent holidays, and leasehold improvement incentives which are recognized to expense on a straight-line basis. The amortization period of leasehold improvements made either at the inception of the lease or during the lease term is amortized over the lesser of the remaining life of the lease term (including renewals that are reasonably assured) or the useful life of the asset. The Company also leases various machinery and equipment and office equipment under non-cancelable operating leases. The remaining terms of these operating leases range from less than one year to approximately three years. As of March 28, 2015, the total future minimum lease payments were approximately $59.8 million related to facility operating leases and approximately $0.1 million related to equipment operating leases.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under non-cancelable operating leases as of March 28, 2015,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Fiscal Year</w:t>
            </w:r>
          </w:p>
        </w:tc>
        <w:tc>
          <w:tcPr>
            <w:tcW w:w="4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70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2017</w:t>
            </w:r>
          </w:p>
        </w:tc>
        <w:tc>
          <w:tcPr>
            <w:tcW w:w="4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2019</w:t>
            </w:r>
          </w:p>
        </w:tc>
        <w:tc>
          <w:tcPr>
            <w:tcW w:w="4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payment</w:t>
            </w:r>
          </w:p>
        </w:tc>
        <w:tc>
          <w:tcPr>
            <w:tcW w:w="57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Arial" w:cs="Arial" w:eastAsia="Arial" w:hAnsi="Arial"/>
                <w:sz w:val="18"/>
                <w:szCs w:val="18"/>
                <w:color w:val="auto"/>
              </w:rPr>
              <w:t>70</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 expense under operating leases, including facilities and equipment, was approximately $12.1 million, $10.7 million, and $10.1 million for fiscal years 2015,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RESTRUCTURING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2015, the Company recorded restructuring expenses in "Other operating expense" of approximately $10.9 million as a result of the Business Combination (see Note 5), primarily related to employee termination benefits. The restructuring obligations (relating primarily to employee termination benefits) totaling $6.4 million as of March 28, 2015, are included in “Accrued liabilities” in the Consolidated Balance Sheets.</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fiscal 2014, the Company recorded $11.1 million of restructuring expenses, related to (1) efforts initiated to achieve manufacturing efficiencies, (2) efforts initiated to reduce operating expenses, (3) expenses associated with the sale of its GaAs semiconductor manufacturing facility in the U.K., and (4) expenses associated with the 2009 economic restructuring efforts.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fiscal 2014, the Company initiated restructuring efforts to achieve manufacturing efficiencies. The Company recorded restructuring expenses in “Other operating expense” of approximately $4.1 million, in fiscal 2014, primarily related to employee termination benefits. This restructuring initiative was completed during fiscal 2014.</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fourth quarter of fiscal 2014, the Company initiated another restructuring to reduce operating expenses. The Company recorded restructuring expenses in “Other operating expense” of approximately $1.3 million and $2.5 million, in fiscal years 2015 and 2014, respectively, primarily related to employee termination benefits. As part of this restructuring, the Company discontinued engineering efforts related to an IPRD project and impaired the intangible asset in the amount of $11.3 million, which is also recorded in “Other operating expense” (see Note 7). This restructuring initiative was completed during fiscal 2015.</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March 2013, the Company announced that it would phase out manufacturing in its Newton Aycliffe, U.K.-based GaAs facility and transition the remaining product demand from that facility to its GaAs manufacturing facility in Greensboro, N.C. During the second quarter of fiscal 2014, the Company sold its U.K.-based GaAs facility to Compound Photonics. The Company recorded restructuring charges in “Other operating expense” of approximately $4.4 million and $0.8 million in fiscal years 2014 and 2013, respectively, primarily related to impaired property, plant and equipment and employee termination benefits. This restructuring initiative was completed during fiscal 2014.</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fiscal 2009, the Company initiated a restructuring to reduce manufacturing capacity and costs and operating expenses due primarily to lower demand for its products resulting from the global economic slowdown. The restructuring decreased the Company’s workforce and resulted in the impairment of certain property and equipment, among other charges. The Company recorded restructuring charges in “Other operating expense” of approximately $0.2 million, $0.1 million and $0.2 million in fiscal years 2015, 2014 and 2013, respectively, related to lease and other contract termination costs. The current and long-term restructuring obligations (relating primarily to lease obligations) totaling $3.5 million and $3.9 million as of March 28, 2015 and March 29, 2014, respectively, are included in “Accrued liabilities” and “Other long-term liabilities” in the Consolidated Balance Sheets. As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March 28, 2015, the restructuring associated with the adverse macroeconomic business environment is substantially complete. The Company expects to record approximately $0.7 million of additional restructuring charges primarily associated with ongoing expenses related to exited leased facilities.</w:t>
      </w:r>
    </w:p>
    <w:p>
      <w:pPr>
        <w:spacing w:after="0" w:line="1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consists of the following components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127,281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121,241</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The components of the income tax provision are as follows (in thousands):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rPr>
              <w:t>Fiscal Year</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Federal</w:t>
            </w:r>
          </w:p>
        </w:tc>
        <w:tc>
          <w:tcPr>
            <w:tcW w:w="1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(15,862)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100,884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State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109,970</w:t>
            </w: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or benefit from income taxes to income tax (expense) or benefit computed by applying the statutory federal income tax rate to pre-tax (loss) income for fiscal years 2015, 2014 and 2013 is as follows (dollars in thousands):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46355</wp:posOffset>
            </wp:positionV>
            <wp:extent cx="5205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4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20" w:type="dxa"/>
            <w:vAlign w:val="bottom"/>
          </w:tcPr>
          <w:p>
            <w:pPr>
              <w:jc w:val="right"/>
              <w:ind w:right="570"/>
              <w:spacing w:after="0"/>
              <w:rPr>
                <w:sz w:val="20"/>
                <w:szCs w:val="20"/>
                <w:color w:val="auto"/>
              </w:rPr>
            </w:pPr>
            <w:r>
              <w:rPr>
                <w:rFonts w:ascii="Arial" w:cs="Arial" w:eastAsia="Arial" w:hAnsi="Arial"/>
                <w:sz w:val="16"/>
                <w:szCs w:val="16"/>
                <w:b w:val="1"/>
                <w:bCs w:val="1"/>
                <w:color w:val="auto"/>
              </w:rPr>
              <w:t>Amount</w:t>
            </w:r>
          </w:p>
        </w:tc>
        <w:tc>
          <w:tcPr>
            <w:tcW w:w="1120" w:type="dxa"/>
            <w:vAlign w:val="bottom"/>
          </w:tcPr>
          <w:p>
            <w:pPr>
              <w:jc w:val="right"/>
              <w:ind w:right="251"/>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tax (expense) benefit at statutory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3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(42,434)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(8,355)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9,065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Decrease (increase) resulting from:</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benefit (provision), net of federal</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benefit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(6,710)</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(827)</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(3.19)</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3,538</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3,177</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6,257</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24.16</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574</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2,434</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9.39</w:t>
            </w:r>
          </w:p>
        </w:tc>
      </w:tr>
      <w:tr>
        <w:trPr>
          <w:trHeight w:val="229"/>
        </w:trPr>
        <w:tc>
          <w:tcPr>
            <w:tcW w:w="3140" w:type="dxa"/>
            <w:vAlign w:val="bottom"/>
          </w:tcPr>
          <w:p>
            <w:pPr>
              <w:ind w:left="40"/>
              <w:spacing w:after="0"/>
              <w:rPr>
                <w:sz w:val="20"/>
                <w:szCs w:val="20"/>
                <w:color w:val="auto"/>
              </w:rPr>
            </w:pPr>
            <w:r>
              <w:rPr>
                <w:rFonts w:ascii="Arial" w:cs="Arial" w:eastAsia="Arial" w:hAnsi="Arial"/>
                <w:sz w:val="18"/>
                <w:szCs w:val="18"/>
                <w:color w:val="auto"/>
              </w:rPr>
              <w:t>Effect of changes in income tax rate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140" w:type="dxa"/>
            <w:vAlign w:val="bottom"/>
          </w:tcPr>
          <w:p>
            <w:pPr>
              <w:ind w:left="200"/>
              <w:spacing w:after="0"/>
              <w:rPr>
                <w:sz w:val="20"/>
                <w:szCs w:val="20"/>
                <w:color w:val="auto"/>
              </w:rPr>
            </w:pPr>
            <w:r>
              <w:rPr>
                <w:rFonts w:ascii="Arial" w:cs="Arial" w:eastAsia="Arial" w:hAnsi="Arial"/>
                <w:sz w:val="18"/>
                <w:szCs w:val="18"/>
                <w:color w:val="auto"/>
              </w:rPr>
              <w:t>applied to net deferred tax assets</w:t>
            </w:r>
          </w:p>
        </w:tc>
        <w:tc>
          <w:tcPr>
            <w:tcW w:w="22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(65)</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(1,250)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(4.83)</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difference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(13,342)</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636</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3,218</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12.43</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135,812</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5,890</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(40,675)</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(157.05)</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Repurchase of convertible subordinated</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438</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1.69</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Adjustments to net deferred tax assets</w:t>
            </w: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2,939</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(872)</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(3.37)</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(1,309)</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(635)</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(2,108)</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(8.14)</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Tax reserve adjustments</w:t>
            </w:r>
          </w:p>
        </w:tc>
        <w:tc>
          <w:tcPr>
            <w:tcW w:w="22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(3,928)</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(1,482)</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(515)</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(1.99)</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Deemed dividend</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(2,751)</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(1,122)</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(1,749)</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(6.75)</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w w:val="97"/>
              </w:rPr>
              <w:t>Write-off U.K. gross deferred tax assets</w:t>
            </w: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(12,699)</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Domestic production activities deduction</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2,620</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Other income tax benefit (expense)</w:t>
            </w:r>
          </w:p>
        </w:tc>
        <w:tc>
          <w:tcPr>
            <w:tcW w:w="22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3,586</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(164)</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(516)</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(1.99)</w:t>
            </w:r>
          </w:p>
        </w:tc>
      </w:tr>
      <w:tr>
        <w:trPr>
          <w:trHeight w:val="27"/>
        </w:trPr>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75,062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(11,231)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(27,100)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130" w:right="31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Year</w:t>
            </w:r>
          </w:p>
        </w:tc>
        <w:tc>
          <w:tcPr>
            <w:tcW w:w="92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9,813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Basis in stock and 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Equity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85,150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17,860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29,260</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37,676</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other credits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71,406</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Other deferred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9,189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177,952</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(143,264)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 net of valuation allowance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279,507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34,688</w:t>
            </w:r>
          </w:p>
        </w:tc>
      </w:tr>
      <w:tr>
        <w:trPr>
          <w:trHeight w:val="169"/>
        </w:trPr>
        <w:tc>
          <w:tcPr>
            <w:tcW w:w="85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Amortization and purchase accounting basis difference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(410,801)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(10,862)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Convertible debt discount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gain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Other deferred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(428,856)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income tax (liabilities)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(149,349)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18,248</w:t>
            </w:r>
          </w:p>
        </w:tc>
      </w:tr>
      <w:tr>
        <w:trPr>
          <w:trHeight w:val="67"/>
        </w:trPr>
        <w:tc>
          <w:tcPr>
            <w:tcW w:w="85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156"/>
        </w:trPr>
        <w:tc>
          <w:tcPr>
            <w:tcW w:w="8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Amounts included in consolidated balance sheets: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14,913</w:t>
            </w: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(310,189)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income tax (liabilities)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(149,349)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18,248</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recorded a $13.8 million and a $143.3 million valuation allowance against the U.S. deferred tax assets and small net deferred tax assets at several foreign subsidiaries as of March 28, 2015 and March 29, 2014, respectively. These valuation allowances were established based upon management's opinion that it is more likely than not that the benefit of these deferred tax assets may not be realized. Realization is dependent upon generating future income in the taxing jurisdictions in which the operating loss carryovers, credit carryovers, depreciable tax basis and other tax deferred assets exist. It is management's intent to evaluate the realizability of these deferred tax assets on a quarterly basis.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valuation allowance against net deferred tax assets increased in fiscal 2013 by $51.5 million from the $112.7 million balance as of the end of fiscal 2012. The change was comprised of $12.0 million established during the fiscal year related to the U.K., $10.8 million related to the Amalfi acquisition, and a $28.7 million increase related to changes in domestic net deferred tax assets during the fiscal year. The U.K. valuation allowance was recorded as a result of the decision, announced in March 2013, to phase out manufacturing at the Newton Aycliffe U.K. facility. Consequently, the Company determined that this represented significant negative evidence, and that it was no longer “more likely than not” that any U.K. deferred tax assets remaining at the end of fiscal 2014 would ultimately be realized.</w:t>
      </w:r>
    </w:p>
    <w:p>
      <w:pPr>
        <w:spacing w:after="0" w:line="193"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valuation allowance against net deferred tax assets decreased in fiscal 2014 by $20.9 million. The decrease was comprised of the reversal of the $12.0 million U.K. valuation allowance established during fiscal 2013 and $15.1 million related to deferred tax assets used against deferred intercompany profits, offset by increases related to a $3.4 million adjustment in the net operating losses acquired in the Amalfi acquisition and $2.8 million for other changes</w:t>
      </w:r>
    </w:p>
    <w:p>
      <w:pPr>
        <w:sectPr>
          <w:pgSz w:w="11900" w:h="16838" w:orient="portrait"/>
          <w:cols w:equalWidth="0" w:num="1">
            <w:col w:w="11420"/>
          </w:cols>
          <w:pgMar w:left="240" w:top="130"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30"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net deferred tax assets for domestic and for other foreign subsidiaries during the fiscal year. The U.K. valuation allowance was reversed in connection with the sale of the U.K. manufacturing facility in fiscal 2014 and the write-off of the remaining U.K. deferred tax assets.</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valuation allowance against net deferred tax assets decreased in fiscal 2015 by $129.5 million. The decrease was comprised of $135.7 million related to domestic deferred tax assets for which realization is now more likely than not with the increase in domestic deferred tax liabilities related to domestic amortizable intangible assets arising in connection with the Business Combination and other changes in the net deferred tax assets for foreign subsidiaries during the fiscal year, offset by an increase of $6.2 million related to deferred tax assets acquired in the Business Combination that are not more likely than not of being realized. As of the end of fiscal 2015, a $0.2 million valuation allowance remained against foreign net deferred tax assets and a $13.6 million valuation allowance remained against domestic deferred tax assets as it is more likely than not that the related deferred tax assets will not be realized, effectively increasing the domestic net deferred tax liabilities.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28, 2015, the Company had federal loss carryovers of approximately $202.3 million that expire in fiscal years 2016 to 2035 if unused and state losses of approximately $184.9 million that expire in fiscal years 2016 to 2035 if unused. Federal research credits of $79.9 million, federal foreign tax credits of $1.7 million, and state credits of $45.9 million may expire in fiscal years 2018 to 2035, 2016 to 2035, and 2016 to 2030, respectively. Federal alternative minimum tax credits of $3.2 million will carry forward indefinitely. Included in the amounts above are certain net operating losses and other tax attribute assets acquired in conjunction with acquisitions in the current and prior years. The utilization of acquired domestic assets is subject to certain annual limitations as required under Internal Revenue Code Section 382 and similar state income tax provisions.</w:t>
      </w:r>
    </w:p>
    <w:p>
      <w:pPr>
        <w:spacing w:after="0" w:line="17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has continued to expand its operations and increase its investments in numerous international jurisdictions. These activities expose the Company to taxation in multiple foreign jurisdictions. It is management's opinion that current and future undistributed foreign earnings will be permanently reinvested. Accordingly, no provision for U.S. federal and state income taxes has been made thereon. It is not practical to estimate the additional tax that would be incurred, if any, if the permanently reinvested earnings were repatriated. At March 28, 2015, the Company has not provided U.S. taxes on approximately $453.6 million of undistributed earnings of foreign subsidiaries that have been indefinitely reinvested outside the U.S.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Business Combination, the Company acquired foreign subsidiaries with tax holiday agreements in Costa Rica and Singapore. These tax holiday agreements have varying rates and expire in March 2024 and December 2021, respectively. Incentives from these countries are subject to the Company meeting certain employment and investment requirements. Income tax expense was decreased in fiscal 2015 by $19.1 million (approximately $0.21 per basic and diluted share impact) as a result of these agreements.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gross unrecognized tax benefits totaled $59.4 million as of March 28, 2015, $39.4 million as of March 29, 2014, and $37.9 million as of March 30, 2013. Of these amounts, $55.0 million (net of federal benefit of state taxes), $30.9 million (net of federal benefit of state taxes), and $29.7 million (net of federal benefit of state taxes) as of March 28, 2015, March 29, 2014, March 30, 2013, respectively, represent the amounts of unrecognized tax benefits that, if recognized, would impact the effective tax rate in each of the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fiscal 2013 through fiscal 2015 beginning and ending amount of gross unrecognized tax benefits is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9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31,727</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current year</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years</w:t>
            </w:r>
          </w:p>
        </w:tc>
        <w:tc>
          <w:tcPr>
            <w:tcW w:w="2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Reductions for tax positions in prior years</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statute of limitations</w:t>
            </w:r>
          </w:p>
        </w:tc>
        <w:tc>
          <w:tcPr>
            <w:tcW w:w="2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5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39,423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37,917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80" w:type="dxa"/>
            <w:vAlign w:val="bottom"/>
            <w:vMerge w:val="restart"/>
          </w:tcPr>
          <w:p>
            <w:pPr>
              <w:jc w:val="right"/>
              <w:ind w:right="1370"/>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0" w:right="27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Of the fiscal 2015 and 2013 additions to tax positions in prior years, $17.1 million and $4.4 million, respectively, were assumed by the Company in the Business Combination and the Amalfi acquisition and relates to positions taken on tax returns for pre-acquisition periods.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2015, 2014 and 2013, the Company recognized $1.2 million, $0.9 million, and $0.7 million, respectively, of interest and penalties related to uncertain tax positions. Accrued interest and penalties related to unrecognized tax benefits totaled $3.4 million, $2.3 million, and $1.3 million as of March 28, 2015, March 29, 2014 and March 30, 2013, respectively.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Within the next 12 months, the Company believes it is reasonably possible that only a minimal amount of gross unrecognized tax benefits will be reduced as a result of reductions for temporary tax positions taken in prior years.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RFMD's and TriQuint's federal, North Carolina, and California tax returns for fiscal 2012 and calendar 2011, respectively, and subsequent tax years remain open for examination. Returns for calendar years 2005 through 2007 have been examined by the German taxing authorities and returns for subsequent fiscal tax years remain open for examination. Other material jurisdictions that are subject to examination by tax authorities are the U.K. (fiscal 2013 through present), Singapore (calendar 2011 through present) and China (calendar year 2004 through present). Tax attributes (including net operating loss and credit carryovers) arising in earlier fiscal years remain open to adjustment.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NET INCOME (LOSS) PER SHARE</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Pursuant to the terms of the Merger Agreement, effective January 1, 2015, the Company effected a one-for-four reverse stock split of the Company's issued and outstanding shares of common stock. In accordance with Staff Accounting Bulletin Topic 4.C, all share and per share information contained in the accompanying Consolidated Financial Statements, Notes to the Consolidated Financial Statements and Management's Discussion and Analysis of Financial Condition and Results of Operation (included in Item 7 of this report) have been retroactively adjusted to reflect the reverse stock split for all periods presented. See Note 5 for a further discussion of the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per share data):</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Fiscal Year</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Numerator for basic and diluted net income (loss) per share — net</w:t>
            </w: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9"/>
              </w:rPr>
              <w:t>196,303</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12,642</w:t>
            </w:r>
          </w:p>
        </w:tc>
        <w:tc>
          <w:tcPr>
            <w:tcW w:w="12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income (loss) available to common stockholders</w:t>
            </w: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Denominator for basic net income (loss) per share — weighted average</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shares</w:t>
            </w:r>
          </w:p>
        </w:tc>
        <w:tc>
          <w:tcPr>
            <w:tcW w:w="1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70,499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69,650</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Stock-based awards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w w:val="96"/>
              </w:rPr>
              <w:t>Denominator for diluted net income (loss) per share — adjusted weighted</w:t>
            </w:r>
          </w:p>
        </w:tc>
        <w:tc>
          <w:tcPr>
            <w:tcW w:w="1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93,211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72,019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69,650</w:t>
            </w:r>
          </w:p>
        </w:tc>
        <w:tc>
          <w:tcPr>
            <w:tcW w:w="0" w:type="dxa"/>
            <w:vAlign w:val="bottom"/>
          </w:tcPr>
          <w:p>
            <w:pPr>
              <w:spacing w:after="0"/>
              <w:rPr>
                <w:sz w:val="1"/>
                <w:szCs w:val="1"/>
                <w:color w:val="auto"/>
              </w:rPr>
            </w:pPr>
          </w:p>
        </w:tc>
      </w:tr>
      <w:tr>
        <w:trPr>
          <w:trHeight w:val="277"/>
        </w:trPr>
        <w:tc>
          <w:tcPr>
            <w:tcW w:w="5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average shares and assumed conversions</w:t>
            </w: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6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Basic net income (loss) per share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net income (loss) per share</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vMerge w:val="continue"/>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computation of diluted net income per share for fiscal years 2015 and 2014, less than 0.1 million and 1.8 million shares were excluded because the exercise price of the options was greater than the average market price of the underlying common stock and the effect of their inclusion would have been anti-dilutive. In the computation of diluted net loss per share for fiscal 2013, all outstanding stock-based awards were excluded because the effect of their inclusion would have been anti-dilutive.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computation of diluted net income (loss) per share does not assume the conversion of the Notes. The 2014 Notes became due on April 15, 2014, and the remaining principal balance of $87.5 million plus interest of $0.4 million was paid with cash on hand. The 2012 Notes became due on April 15, 2012, and the remaining principal balance of $26.5 million was paid with cash on hand.</w:t>
      </w:r>
    </w:p>
    <w:p>
      <w:pPr>
        <w:spacing w:after="0" w:line="3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Sirenza Microdevices, Inc. Amended and Restated 1998 Stock Plan - RF Micro Devices, Inc.</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the merger of a wholly owned subsidiary of RF Micro Devices, Inc. with and into Sirenza and the subsequent merger of Sirenza with and into the Company, the Company assumed the Sirenza Amended and Restated 1998 Stock Plan. This plan provides for the grant of awards to acquire common stock to employees, non-employee directors and consultants. This plan permits the grant of incentive and nonqualified options, restricted awards and performance share awards.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under the 2003 Plan, such as stock appreciation rights, restricted stock awards, performance shares and performance units.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RF Micro Devices, Inc.</w:t>
      </w:r>
    </w:p>
    <w:p>
      <w:pPr>
        <w:spacing w:after="0" w:line="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currently grants stock options and restricted stock units to employees and directors under the 2012 Stock Incentive Plan (the "2012 Plan"), which was approved by the Company's stockholders on August 16, 2012 and assumed by the Company in connection with the Business Combination. The Company is permitted to grant stock options and other types of equity incentive awards, under the 2012 Plan, such as stock appreciation rights, restricted stock awards, performance shares and performance units.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March 28, 2015, 4.8 million shares were available for issuance under the 2012 Plan. The aggregate number of shares subject to performance-based restricted stock units awarded for fiscal 2015 under the 2012 Plan was 0.5 million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Directors’ Stock Option Plan - RF Micro Devices, Inc.</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At the Company’s 2006 annual meeting of stockholders, stockholders of the Company adopted the 2006 Directors’ Stock Option Plan, which replaced the Non-Employee Directors’ Stock Option Plan and reserved an additional 0.3 million shares of common stock for issuance to non-employee directors. Under the terms of this plan, directors who were not employees of the Company were entitled to receive options to acquire shares of common stock. No further awards can be granted under this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Program - TriQuint Semiconductor, Inc.</w:t>
      </w:r>
    </w:p>
    <w:p>
      <w:pPr>
        <w:spacing w:after="0" w:line="5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Effective upon the closing of the Business Combination, the Company assumed the TriQuint, Inc. 1996 Stock Incentive Program (the “TriQuint 1996 Stock Incentive Program”), originally adopted by TriQuint. The TriQuint 1996 Stock Incentive Program provides for the grant of incentive and non-qualified stock options to officers, outside directors and other employees of TriQuint or any parent or subsidiary. The TriQuint 1996 Stock Incentive Program was amended in 2002 to provide that options granted thereunder must have an exercise price per share no less than 100% of the fair market value of the share price on the grant date. In 2005, the TriQuint 1996 Stock Incentive Program was further amended to extend the term of the program to 2015 and permit the award of restricted stock, restricted stock units, stock appreciation rights, performance shares and performance units in addition to the grant of stock options. In addition, the amendment provided specific performance criteria that the plan administrator may use to establish performance objectives. The terms of each grant under the TriQuint 1996 Stock Incentive Program may not exceed ten years. No further awards can be granted under this program.</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30" w:right="27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Inducement Award Plan- TriQuint Semiconductor, Inc.</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Effective upon the closing of the Business Combination, the Company assumed the sponsorship of the TriQuint, Inc. 2008 Inducement Award Plan (the “TriQuint 2008 Inducement Award Plan”), originally adopted by TriQuint. The TriQuint 2008 Inducement Award Plan provides for the grant of nonstatutory stock options, restricted stock, restricted stock units, stock appreciation rights and other stock or cash awards to employees of TriQuint or any parent or subsidiary. The options granted thereunder must have an exercise price per share no less than 100% of the fair market value per share on the date of grant. The terms of each grant under the plan may not exceed ten years. No further awards can be granted under this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Incentive Plan - TriQuint Semiconductor, Inc.</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Effective upon the closing of the Business Combination, the Company assumed the TriQuint, Inc. 2009 Incentive Plan (the “TriQuint 2009 Incentive Plan”), originally adopted by TriQuint. The TriQuint 2009 Incentive Plan provides for the grant of stock options, restricted stock units, stock appreciation rights and other stock or cash awards to employees, officers, directors, consultants, agents, advisors and independent contractors of TriQuint and its subsidiaries and affiliates. The options granted thereunder must have an exercise price per share no less than 100% of the fair market value per share on the date of grant. The terms of each grant under the TriQuint 2009 Incentive Plan may not exceed ten years. No further awards can be granted under this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Incentive Plan - TriQuint Semiconductor, Inc.</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2012 Incentive Plan (the “TriQuint 2012 Incentive Plan”), originally adopted by TriQuint. The TriQuint 2012 Incentive Plan replaces the TriQuint 2009 Incentive Plan and provides for the grant of stock options, restricted stock units, stock appreciation rights and other stock or cash awards to employees, officers, directors, consultants, agents, advisors and independent contractors of TriQuint and its subsidiaries and affiliates. The options granted thereunder must have an exercise price per share no less than 100% of the fair market value per share on the date of grant. The terms of each grant under the TriQuint 2012 Incentive Plan may not exceed ten years. No further awards can be granted under this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TriQuint Semiconductor,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Effective upon the closing of the Business Combination, the Company assumed the TriQuint, Inc. 2013 Incentive Plan (the “TriQuint 2013 Incentive Plan”), originally adopted by TriQuint, allowing Qorvo to issue awards under this plan. The TriQuint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TriQuint 2013 Incentive Plan. The options granted thereunder must have an exercise price per share no less than 100% of the fair market value per share on the date of grant. The terms of each grant under the TriQuint 2013 Incentive Plan may not exceed ten years. As of March 28, 2015, 4.0 million shares were available for issuance under the TriQuint 2013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Effective upon closing of the Business Combination, the Company assumed the TriQuint Employee Stock Purchase Plan ("ESPP"), which is intended to qualify as an “employee stock purchase plan” under Section 423 of the Internal Revenue Code. All regular full-time employees of the Company (including officers) and all other employees who meet the eligibility requirements of the plan may participate in the ESPP. The ESPP provides eligible employees 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0"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opportunity to acquire the Company’s common stock at 85% of the lower of the closing price per share of the Company’s common stock on the first or last day of each six-month purchase period. At March 28, 2015, 6.2 million shares were available for future issuance under this plan. The Company makes no cash contributions to the ESPP, but bears the expenses of its administration. The Company issued 0.1 million shares under the ESPP in fiscal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2015, 2014 and 2013, the primary stock-based awards and their general terms and conditions are as follows: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Stock options are granted to employees with an exercise price equal to the market price of the Company’s stock at the date of grant, generally vest over a four-year period from the grant date, and generally expire 10 years from the grant date. Restricted stock units granted by the Company in fiscal years 2015, 2014 and 2013 are either service-based, performance and service-based, or based on total stockholder return. Service-based restricted stock units generally vest over a four-year period from the grant date. Performance and service-based restricted stock units are earned based on Company performance of stated metrics generally during the fiscal year and, if earned, vest one-half when earned and the balance over two years. Restricted stock units based on total stockholder return are earned based upon total stockholder return of the Company in comparison to the total stockholder return of a benchmark index and can be earned over one, two and three-year performance periods. Under the 2012 Plan for fiscal years 2014 and 2013 and the 2006 Directors’ Stock Option Plan for fiscal 2012, stock options granted to non-employee directors (other than initial options, as described below) had an exercise price equal to the fair market value of the Company’s stock at the date of grant, vested immediately upon grant and expire 10 years from the grant date. Each non-employee director who was first elected or appointed to the Board of Directors during such period received an initial option covering shares with a value set by the Board of Directors at an exercise price equal to the fair market value of the Company’s stock at the date of grant, which vested over a two-year period from the grant date and expired 10 years from the grant date. At the director’s option, the director could elect to receive all or part of the initial grant in restricted stock units. Thereafter, each non-employee director was eligible to receive an annual option or, if he so chose, an annual grant of restricted stock units.</w:t>
      </w:r>
    </w:p>
    <w:p>
      <w:pPr>
        <w:spacing w:after="0" w:line="175"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2015, stock-based compensation of $11.7 million was recognized upon the grant of 0.4 million options and restricted share units to certain officers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17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pre-tax stock-based compensation expense recognized in the Consolidated Statements of Operations was $64.9 million for fiscal 2015, net of expense capitalized into inventory. For fiscal years 2014 and 2013, the total pre-tax stock-based compensation expense recognized was $29.9 million and $30.8 million, respectively, net of expense capitalized into inventory.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30" w:right="27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of the Company’s director and employee stock option plans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Weighted-</w:t>
            </w: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Average</w:t>
            </w: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Weighted-Average</w:t>
            </w:r>
          </w:p>
        </w:tc>
        <w:tc>
          <w:tcPr>
            <w:tcW w:w="28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160" w:type="dxa"/>
            <w:vAlign w:val="bottom"/>
            <w:gridSpan w:val="2"/>
          </w:tcPr>
          <w:p>
            <w:pPr>
              <w:ind w:left="6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Remaining Contractual</w:t>
            </w:r>
          </w:p>
        </w:tc>
        <w:tc>
          <w:tcPr>
            <w:tcW w:w="28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2160" w:type="dxa"/>
            <w:vAlign w:val="bottom"/>
            <w:gridSpan w:val="2"/>
          </w:tcPr>
          <w:p>
            <w:pPr>
              <w:ind w:left="40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Price</w:t>
            </w: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Term (in years)</w:t>
            </w:r>
          </w:p>
        </w:tc>
        <w:tc>
          <w:tcPr>
            <w:tcW w:w="28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29, 2014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w:t>
            </w:r>
          </w:p>
        </w:tc>
        <w:tc>
          <w:tcPr>
            <w:tcW w:w="3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Assumed</w:t>
            </w: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8,036</w:t>
            </w:r>
          </w:p>
        </w:tc>
        <w:tc>
          <w:tcPr>
            <w:tcW w:w="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18.35</w:t>
            </w: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56.80</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820" w:type="dxa"/>
            <w:vAlign w:val="bottom"/>
          </w:tcPr>
          <w:p>
            <w:pPr>
              <w:jc w:val="right"/>
              <w:spacing w:after="0"/>
              <w:rPr>
                <w:sz w:val="20"/>
                <w:szCs w:val="20"/>
                <w:color w:val="auto"/>
              </w:rPr>
            </w:pPr>
            <w:r>
              <w:rPr>
                <w:rFonts w:ascii="Arial" w:cs="Arial" w:eastAsia="Arial" w:hAnsi="Arial"/>
                <w:sz w:val="18"/>
                <w:szCs w:val="18"/>
                <w:color w:val="auto"/>
              </w:rPr>
              <w:t>(2,037)</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w:t>
            </w: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19.76</w:t>
            </w: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28, 2015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w:t>
            </w:r>
          </w:p>
        </w:tc>
        <w:tc>
          <w:tcPr>
            <w:tcW w:w="3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471,040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as of</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vMerge w:val="continue"/>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7,447</w:t>
            </w:r>
          </w:p>
        </w:tc>
        <w:tc>
          <w:tcPr>
            <w:tcW w:w="3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18.68</w:t>
            </w:r>
          </w:p>
        </w:tc>
        <w:tc>
          <w:tcPr>
            <w:tcW w:w="34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ind w:right="10"/>
              <w:spacing w:after="0"/>
              <w:rPr>
                <w:sz w:val="20"/>
                <w:szCs w:val="20"/>
                <w:color w:val="auto"/>
              </w:rPr>
            </w:pPr>
            <w:r>
              <w:rPr>
                <w:rFonts w:ascii="Arial" w:cs="Arial" w:eastAsia="Arial" w:hAnsi="Arial"/>
                <w:sz w:val="18"/>
                <w:szCs w:val="18"/>
                <w:color w:val="auto"/>
              </w:rPr>
              <w:t>451,327</w:t>
            </w:r>
          </w:p>
        </w:tc>
        <w:tc>
          <w:tcPr>
            <w:tcW w:w="0" w:type="dxa"/>
            <w:vAlign w:val="bottom"/>
          </w:tcPr>
          <w:p>
            <w:pPr>
              <w:spacing w:after="0"/>
              <w:rPr>
                <w:sz w:val="1"/>
                <w:szCs w:val="1"/>
                <w:color w:val="auto"/>
              </w:rPr>
            </w:pPr>
          </w:p>
        </w:tc>
      </w:tr>
      <w:tr>
        <w:trPr>
          <w:trHeight w:val="277"/>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March 28, 2015</w:t>
            </w:r>
          </w:p>
        </w:tc>
        <w:tc>
          <w:tcPr>
            <w:tcW w:w="182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Options exercisable as of March 28, 2015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w:t>
            </w:r>
          </w:p>
        </w:tc>
        <w:tc>
          <w:tcPr>
            <w:tcW w:w="3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274,121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aggregate intrinsic value in the table above represents the total pre-tax intrinsic value, based upon the Company’s closing stock price of $79.28 as of March 28, 2015, that would have been received by the option holders had all option holders with in-the-money options exercised their options as of that date.</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assumptions noted in the following tables: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Fiscal Year</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7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2013</w:t>
            </w:r>
          </w:p>
        </w:tc>
      </w:tr>
      <w:tr>
        <w:trPr>
          <w:trHeight w:val="27"/>
        </w:trPr>
        <w:tc>
          <w:tcPr>
            <w:tcW w:w="46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1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1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5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Weighted-average grant-date fair value of options granted</w:t>
            </w:r>
          </w:p>
        </w:tc>
        <w:tc>
          <w:tcPr>
            <w:tcW w:w="1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22.49</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r>
      <w:tr>
        <w:trPr>
          <w:trHeight w:val="27"/>
        </w:trPr>
        <w:tc>
          <w:tcPr>
            <w:tcW w:w="46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TriQuint converted grants was estimated on the date of the Business Combination using a Black-Scholes multiple option-pricing model with the following weighted-average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4"/>
              </w:rPr>
              <w:t>At January 1, 2015 TriQuint</w:t>
            </w:r>
          </w:p>
        </w:tc>
      </w:tr>
      <w:tr>
        <w:trPr>
          <w:trHeight w:val="234"/>
        </w:trPr>
        <w:tc>
          <w:tcPr>
            <w:tcW w:w="86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2"/>
              </w:rPr>
              <w:t>Converted Grants</w:t>
            </w:r>
          </w:p>
        </w:tc>
      </w:tr>
      <w:tr>
        <w:trPr>
          <w:trHeight w:val="27"/>
        </w:trPr>
        <w:tc>
          <w:tcPr>
            <w:tcW w:w="86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 years</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0.03-1.65%</w:t>
            </w:r>
          </w:p>
        </w:tc>
      </w:tr>
      <w:tr>
        <w:trPr>
          <w:trHeight w:val="27"/>
        </w:trPr>
        <w:tc>
          <w:tcPr>
            <w:tcW w:w="8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of stock</w:t>
            </w:r>
          </w:p>
        </w:tc>
        <w:tc>
          <w:tcPr>
            <w:tcW w:w="244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42.9%</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None</w:t>
            </w: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total intrinsic value of options exercised during fiscal 2015, was $83.7 million. For fiscal years 2014 and 2013, the total intrinsic value of options exercised was $3.1 million and $0.5 million, respectively.</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Cash received from the exercise of stock options and from participation in the employee stock purchase plan (excluding accrued unremitted employee funds of approximately $4.0 million) was approximately $42.1 million for fiscal 2015 and is reflected in cash flows from financing activities in the Consolidated Statements of Cash Flows. The Company settles employee stock options with newly issued shares of the Company's common stock.</w:t>
      </w:r>
    </w:p>
    <w:p>
      <w:pPr>
        <w:sectPr>
          <w:pgSz w:w="11900" w:h="16838" w:orient="portrait"/>
          <w:cols w:equalWidth="0" w:num="1">
            <w:col w:w="11360"/>
          </w:cols>
          <w:pgMar w:left="240" w:top="130" w:right="299" w:bottom="1440" w:gutter="0" w:footer="0" w:header="0"/>
        </w:sect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60"/>
          </w:cols>
          <w:pgMar w:left="240" w:top="130" w:right="29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used the implied volatility of market-traded options on the Company’s common stock for the expected volatility assumption input to the Black-Scholes option-pricing model, consistent with the guidance in ASC 718. The selection of implied volatility data to estimate expected volatility was based upon the availability of actively-traded options on the Company’s common stock and the Company’s assessment that implied volatility is more representative of future common stock price trends than historical volatility.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dividend yield assumption is based on the Company’s history and expectation of future dividend payouts and may be subject to change in the future. The Company has never paid a dividend.</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expected life of employee stock options represents the weighted-average period that the stock options are expected to remain outstanding. The Company’s method of calculating the expected term of an option is based on the assumption that all outstanding options will be exercised at the midpoint of the current date and full contractual term, combined with the average life of all options that have been exercised or canceled. The Company believes that this method provides a better estimate of the future expected life based on analysis of historical exercise behavioral data.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risk-free interest rate assumption is based upon observed interest rates appropriate for the terms of the Company’s employee stock options.</w:t>
      </w:r>
    </w:p>
    <w:p>
      <w:pPr>
        <w:spacing w:after="0" w:line="2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1.2% for both stock options and restricted stock units.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The following activity has occurred with respect to restricted stock unit awards:</w:t>
            </w:r>
          </w:p>
        </w:tc>
        <w:tc>
          <w:tcPr>
            <w:tcW w:w="2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0"/>
        </w:trPr>
        <w:tc>
          <w:tcPr>
            <w:tcW w:w="6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700" w:type="dxa"/>
            <w:vAlign w:val="bottom"/>
          </w:tcPr>
          <w:p>
            <w:pPr>
              <w:spacing w:after="0"/>
              <w:rPr>
                <w:sz w:val="18"/>
                <w:szCs w:val="18"/>
                <w:color w:val="auto"/>
              </w:rPr>
            </w:pPr>
          </w:p>
        </w:tc>
        <w:tc>
          <w:tcPr>
            <w:tcW w:w="2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80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6700" w:type="dxa"/>
            <w:vAlign w:val="bottom"/>
          </w:tcPr>
          <w:p>
            <w:pPr>
              <w:spacing w:after="0"/>
              <w:rPr>
                <w:sz w:val="20"/>
                <w:szCs w:val="20"/>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8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7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29, 2014</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2,298</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45.61</w:t>
            </w:r>
          </w:p>
        </w:tc>
      </w:tr>
      <w:tr>
        <w:trPr>
          <w:trHeight w:val="27"/>
        </w:trPr>
        <w:tc>
          <w:tcPr>
            <w:tcW w:w="6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Assumed</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66.36</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Vested</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(1,806)</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26.96</w:t>
            </w:r>
          </w:p>
        </w:tc>
      </w:tr>
      <w:tr>
        <w:trPr>
          <w:trHeight w:val="27"/>
        </w:trPr>
        <w:tc>
          <w:tcPr>
            <w:tcW w:w="6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Balance at March 28, 2015</w:t>
            </w: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2,202</w:t>
            </w:r>
          </w:p>
        </w:tc>
        <w:tc>
          <w:tcPr>
            <w:tcW w:w="3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34.29</w:t>
            </w:r>
          </w:p>
        </w:tc>
      </w:tr>
      <w:tr>
        <w:trPr>
          <w:trHeight w:val="27"/>
        </w:trPr>
        <w:tc>
          <w:tcPr>
            <w:tcW w:w="67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As of March 28, 2015, total remaining unearned compensation cost related to nonvested restricted stock units was $153.0 million, which will be amortized over the weighted-average remaining service period of approximately 1.3 years.</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total fair value of restricted stock units that vested during fiscal 2015 was $93.5 million, based upon the fair market value of the Company’s common stock on the vesting date. For fiscal years 2014 and 2013, the total fair value of restricted stock units that vested was $30.0 million and $21.0 million, respectively.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February 5, 2015, the Company announced that its Board of Directors authorized the repurchase of up to $200.0 million of its outstanding common stock, exclusive of related fees, commissions or other expenses. Repurchases may be made at management’s discretion from time to time on the open market or in privately negotiated transactions, and the program may be discontinued at any time. During fiscal 2015, the Company repurchased 0.8 million shares at an average price of $65.87 on the open market. As of March 28, 2015, approximately $150.0 million remains available for repurchase.</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Business Combination, each share of RFMD common stock was converted into the right to receive 0.25 of a share of Qorvo common stock plus cash in lieu of fractional shares, and each share of TriQuint common stock was converted into the right to receive 0.4187 of a share of Qorvo common stock plus cash in lieu of fractional shares. Approximately 13,160 fractional shares were repurchased for $0.9 million.</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Prior to the Business Combination, RFMD had a share repurchase program under which RFMD was authorized to repurchase up to $200 million of RFMD's outstanding shares of common stock. Denominated in shares of Qorvo common stock, during fiscal 2014, RFMD repurchased approximately 0.6 million shares at an average price of $20.12 on the open market for approximately $12.8 million including transaction costs, and during fiscal 2013, RFMD repurchased approximately 0.5 million shares at an average price of $15.00 on the open market for approximately $7.0 million including transaction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March 28, 2015, the Company had reserved a total of approximately 25.0 million of its authorized 405.0 million shares of common stock for future issuance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Possible future issuance under Company stock incentive plans</w:t>
            </w:r>
          </w:p>
        </w:tc>
        <w:tc>
          <w:tcPr>
            <w:tcW w:w="1640" w:type="dxa"/>
            <w:vAlign w:val="bottom"/>
          </w:tcPr>
          <w:p>
            <w:pPr>
              <w:jc w:val="right"/>
              <w:spacing w:after="0"/>
              <w:rPr>
                <w:sz w:val="20"/>
                <w:szCs w:val="20"/>
                <w:color w:val="auto"/>
              </w:rPr>
            </w:pPr>
            <w:r>
              <w:rPr>
                <w:rFonts w:ascii="Arial" w:cs="Arial" w:eastAsia="Arial" w:hAnsi="Arial"/>
                <w:sz w:val="18"/>
                <w:szCs w:val="18"/>
                <w:color w:val="auto"/>
              </w:rPr>
              <w:t>8,801</w:t>
            </w:r>
          </w:p>
        </w:tc>
      </w:tr>
      <w:tr>
        <w:trPr>
          <w:trHeight w:val="27"/>
        </w:trPr>
        <w:tc>
          <w:tcPr>
            <w:tcW w:w="93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purchase plan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6,243</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Restricted stock-based units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2,202</w:t>
            </w:r>
          </w:p>
        </w:tc>
      </w:tr>
      <w:tr>
        <w:trPr>
          <w:trHeight w:val="27"/>
        </w:trPr>
        <w:tc>
          <w:tcPr>
            <w:tcW w:w="9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 reserved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OPERATING SEGMENT AND GEOGRAPHIC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operating segments as of March 28, 2015 are Mobile Products (MP) and Infrastructure and Defense Products (IDP). In the fourth quarter of fiscal 2015, the Company renamed its reportable segments from Cellular Products Group (CPG) to MP, and Multi-Market Products Group (MPG) to IDP, as a result of the Business Combination. Additionally, the CODM elected to discontinue reporting Compound Semiconductor Group (CSG) as an operating segment.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MP is a leading global supplier of RF solutions that perform various functions in the increasingly complex cellular radio front end section of smartphones and other cellular devices. These RF solutions are required in fourth generation (“4G”) data-centric devices operating under Long-Term Evolution (“LTE”) and other 4G networks, as well as third generation (“3G”) and second generation (“2G”) mobile devices. These solutions include complete RF front end modules that combine high-performance filters, power amplifiers (“PAs”) and switches, PA modules, transmit modules, antenna control solutions, antenna switch modules, switch filter modules, switch duplexer modules and envelope tracking power management devices. MP supplies its broad portfolio of RF solutions into a variety of mobile devices, including smartphones, handsets, notebook computers, wearables and tablets.</w:t>
      </w:r>
    </w:p>
    <w:p>
      <w:pPr>
        <w:spacing w:after="0" w:line="16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IDP is a leading global supplier of a broad array of RF solutions to wireless network infrastructure, defense and aerospace markets and short-range connectivity applications for commercial, consumer, industrial and automotive markets. Infrastructure applications include 4G LTE and 3G base station deployments, WiFi infrastructure, microwave point-to-point radio and optical network links, and CATV wireline infrastructure. Defense and aerospace applications, which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30" w:right="2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require extreme precision, reliability, durability and supply assurance, include a variety of advanced systems, such as active phased array radar, electronic warfare and various communications applications. Industrial and automotive applications include energy management, private mobile radio, satellite radio and test and measurement equipment. The Company's IDP products include high power GaAs and GaN PAs, low noise amplifiers, switches, fixed frequency and voltage-controlled oscillators, filters, attenuators, modulators, driver and transimpedance amplifiers and various multichip and hybrid assemblies.</w:t>
      </w:r>
    </w:p>
    <w:p>
      <w:pPr>
        <w:spacing w:after="0" w:line="15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March 28, 2015, MP and IDP are separate reportable segments based on the organizational structure and information reviewed by the Company’s Chief Executive Officer, who is the Company’s chief operating decision maker (or CODM), and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purchased intangible assets, acquired inventory step-up and revaluation, acquisition and integration related costs, impairment of intangible asset, loss on asset transfer transaction, intellectual property rights (IPR) litigation costs, the inventory revaluation resulting from the transfer of the Company's molecular beam epitaxy (“MBE”) operations, restructuring and disposal costs, certain consulting costs,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MP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1,395,035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935,313</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761,425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313,274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212,897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202,722</w:t>
            </w: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1,148,231</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964,147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109,862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52,574</w:t>
            </w: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Arial" w:cs="Arial" w:eastAsia="Arial" w:hAnsi="Arial"/>
                <w:sz w:val="18"/>
                <w:szCs w:val="18"/>
                <w:color w:val="auto"/>
              </w:rPr>
              <w:t>IDP</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72,262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32,315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(114,836)</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122,466</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27,341</w:t>
            </w:r>
          </w:p>
        </w:tc>
        <w:tc>
          <w:tcPr>
            <w:tcW w:w="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67"/>
        </w:trPr>
        <w:tc>
          <w:tcPr>
            <w:tcW w:w="57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retirement of convertible subordinated notes</w:t>
            </w: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23,873</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4340" w:hanging="5612"/>
        <w:spacing w:after="0" w:line="559" w:lineRule="auto"/>
        <w:tabs>
          <w:tab w:leader="none" w:pos="2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revenue for fiscal 2015 relates to royalty income that is not allocated to MP or IDP. 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(30,819)</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(142,749)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(28,638)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(23,107)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Impairment of intangible asset</w:t>
            </w:r>
          </w:p>
        </w:tc>
        <w:tc>
          <w:tcPr>
            <w:tcW w:w="440" w:type="dxa"/>
            <w:vAlign w:val="bottom"/>
          </w:tcPr>
          <w:p>
            <w:pPr>
              <w:spacing w:after="0"/>
              <w:rPr>
                <w:sz w:val="21"/>
                <w:szCs w:val="21"/>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Restructuring and disposal costs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(14,175)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 transfer transaction</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IPR litigation costs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(8,263)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(7,578)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revaluation resulting from transfer of MBE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Certain consulting costs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(11,295)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Other expenses (including (gain) loss on assets, and start-up costs)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(354,178)</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(114,836)</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revenue to customers by geographic region that are summarized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Fiscal Year</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315,775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342,805</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296,442</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1,395,191</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805,426</w:t>
            </w: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667,705</w:t>
            </w:r>
          </w:p>
        </w:tc>
      </w:tr>
      <w:tr>
        <w:trPr>
          <w:trHeight w:val="27"/>
        </w:trPr>
        <w:tc>
          <w:tcPr>
            <w:tcW w:w="55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20" w:type="dxa"/>
            <w:vAlign w:val="bottom"/>
          </w:tcPr>
          <w:p>
            <w:pPr>
              <w:ind w:left="520"/>
              <w:spacing w:after="0"/>
              <w:rPr>
                <w:sz w:val="20"/>
                <w:szCs w:val="20"/>
                <w:color w:val="auto"/>
              </w:rPr>
            </w:pPr>
            <w:r>
              <w:rPr>
                <w:rFonts w:ascii="Arial" w:cs="Arial" w:eastAsia="Arial" w:hAnsi="Arial"/>
                <w:sz w:val="18"/>
                <w:szCs w:val="18"/>
                <w:b w:val="1"/>
                <w:bCs w:val="1"/>
                <w:color w:val="auto"/>
              </w:rPr>
              <w:t>Fiscal Year</w:t>
            </w:r>
          </w:p>
        </w:tc>
        <w:tc>
          <w:tcPr>
            <w:tcW w:w="15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6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2015</w:t>
            </w:r>
          </w:p>
        </w:tc>
        <w:tc>
          <w:tcPr>
            <w:tcW w:w="202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2014</w:t>
            </w:r>
          </w:p>
        </w:tc>
        <w:tc>
          <w:tcPr>
            <w:tcW w:w="15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6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88"/>
              </w:rPr>
              <w:t>18%</w:t>
            </w:r>
          </w:p>
        </w:tc>
        <w:tc>
          <w:tcPr>
            <w:tcW w:w="2020" w:type="dxa"/>
            <w:vAlign w:val="bottom"/>
          </w:tcPr>
          <w:p>
            <w:pPr>
              <w:jc w:val="center"/>
              <w:ind w:left="250"/>
              <w:spacing w:after="0"/>
              <w:rPr>
                <w:sz w:val="20"/>
                <w:szCs w:val="20"/>
                <w:color w:val="auto"/>
              </w:rPr>
            </w:pPr>
            <w:r>
              <w:rPr>
                <w:rFonts w:ascii="Arial" w:cs="Arial" w:eastAsia="Arial" w:hAnsi="Arial"/>
                <w:sz w:val="18"/>
                <w:szCs w:val="18"/>
                <w:color w:val="auto"/>
                <w:w w:val="88"/>
              </w:rPr>
              <w:t>30%</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4"/>
              </w:rPr>
              <w:t>31%</w:t>
            </w:r>
          </w:p>
        </w:tc>
      </w:tr>
      <w:tr>
        <w:trPr>
          <w:trHeight w:val="27"/>
        </w:trPr>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64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75</w:t>
            </w:r>
          </w:p>
        </w:tc>
        <w:tc>
          <w:tcPr>
            <w:tcW w:w="20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9"/>
              </w:rPr>
              <w:t>66</w:t>
            </w:r>
          </w:p>
        </w:tc>
        <w:tc>
          <w:tcPr>
            <w:tcW w:w="15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63</w:t>
            </w: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Europe</w:t>
            </w:r>
          </w:p>
        </w:tc>
        <w:tc>
          <w:tcPr>
            <w:tcW w:w="1640" w:type="dxa"/>
            <w:vAlign w:val="bottom"/>
          </w:tcPr>
          <w:p>
            <w:pPr>
              <w:jc w:val="center"/>
              <w:ind w:left="110"/>
              <w:spacing w:after="0"/>
              <w:rPr>
                <w:sz w:val="20"/>
                <w:szCs w:val="20"/>
                <w:color w:val="auto"/>
              </w:rPr>
            </w:pPr>
            <w:r>
              <w:rPr>
                <w:rFonts w:ascii="Arial" w:cs="Arial" w:eastAsia="Arial" w:hAnsi="Arial"/>
                <w:sz w:val="18"/>
                <w:szCs w:val="18"/>
                <w:color w:val="auto"/>
                <w:w w:val="79"/>
              </w:rPr>
              <w:t>6</w:t>
            </w:r>
          </w:p>
        </w:tc>
        <w:tc>
          <w:tcPr>
            <w:tcW w:w="2020" w:type="dxa"/>
            <w:vAlign w:val="bottom"/>
          </w:tcPr>
          <w:p>
            <w:pPr>
              <w:jc w:val="center"/>
              <w:ind w:left="250"/>
              <w:spacing w:after="0"/>
              <w:rPr>
                <w:sz w:val="20"/>
                <w:szCs w:val="20"/>
                <w:color w:val="auto"/>
              </w:rPr>
            </w:pPr>
            <w:r>
              <w:rPr>
                <w:rFonts w:ascii="Arial" w:cs="Arial" w:eastAsia="Arial" w:hAnsi="Arial"/>
                <w:sz w:val="18"/>
                <w:szCs w:val="18"/>
                <w:color w:val="auto"/>
                <w:w w:val="79"/>
              </w:rPr>
              <w:t>4</w:t>
            </w:r>
          </w:p>
        </w:tc>
        <w:tc>
          <w:tcPr>
            <w:tcW w:w="1540" w:type="dxa"/>
            <w:vAlign w:val="bottom"/>
          </w:tcPr>
          <w:p>
            <w:pPr>
              <w:jc w:val="center"/>
              <w:ind w:left="30"/>
              <w:spacing w:after="0"/>
              <w:rPr>
                <w:sz w:val="20"/>
                <w:szCs w:val="20"/>
                <w:color w:val="auto"/>
              </w:rPr>
            </w:pPr>
            <w:r>
              <w:rPr>
                <w:rFonts w:ascii="Arial" w:cs="Arial" w:eastAsia="Arial" w:hAnsi="Arial"/>
                <w:sz w:val="18"/>
                <w:szCs w:val="18"/>
                <w:color w:val="auto"/>
                <w:w w:val="99"/>
              </w:rPr>
              <w:t>6</w:t>
            </w:r>
          </w:p>
        </w:tc>
      </w:tr>
      <w:tr>
        <w:trPr>
          <w:trHeight w:val="27"/>
        </w:trPr>
        <w:tc>
          <w:tcPr>
            <w:tcW w:w="5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79"/>
              </w:rPr>
              <w:t>1</w:t>
            </w:r>
          </w:p>
        </w:tc>
        <w:tc>
          <w:tcPr>
            <w:tcW w:w="202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r>
      <w:tr>
        <w:trPr>
          <w:trHeight w:val="27"/>
        </w:trPr>
        <w:tc>
          <w:tcPr>
            <w:tcW w:w="5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consolidated financial statements include the following long-lived asset amounts related to operations of the Company by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7"/>
        </w:trPr>
        <w:tc>
          <w:tcPr>
            <w:tcW w:w="5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697,305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120,885</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114,635</w:t>
            </w:r>
          </w:p>
        </w:tc>
      </w:tr>
      <w:tr>
        <w:trPr>
          <w:trHeight w:val="27"/>
        </w:trPr>
        <w:tc>
          <w:tcPr>
            <w:tcW w:w="5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0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186,066</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75,111</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76,891</w:t>
            </w:r>
          </w:p>
        </w:tc>
      </w:tr>
      <w:tr>
        <w:trPr>
          <w:trHeight w:val="27"/>
        </w:trPr>
        <w:tc>
          <w:tcPr>
            <w:tcW w:w="5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for geographic disclosure purposes, are based on the “sold to” address of the customer. The “sold to” address is not always an accurate representation of the location of final consumption of the Company’s components. Of the Company’s total revenue for fiscal 2015, approximately 49% ($841.0 million) was from customers in China and 19% ($332.5 million) from customers in Taiwan. Long-lived tangible assets primarily include property and equipment and at March 28, 2015, approximately $126.5 million (or 14%) of the Company’s total property and equipment was located in China.</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30" w:right="27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QUARTERLY FINANCIAL SUMMARY (UNAUDITED):</w:t>
      </w: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2015 Quarter</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97"/>
        </w:trPr>
        <w:tc>
          <w:tcPr>
            <w:tcW w:w="4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Second</w:t>
            </w: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Third</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Fourth</w:t>
            </w:r>
            <w:r>
              <w:rPr>
                <w:rFonts w:ascii="Arial" w:cs="Arial" w:eastAsia="Arial" w:hAnsi="Arial"/>
                <w:sz w:val="25"/>
                <w:szCs w:val="25"/>
                <w:color w:val="auto"/>
                <w:w w:val="95"/>
                <w:vertAlign w:val="superscript"/>
              </w:rPr>
              <w:t>(4)</w:t>
            </w:r>
          </w:p>
        </w:tc>
        <w:tc>
          <w:tcPr>
            <w:tcW w:w="740" w:type="dxa"/>
            <w:vAlign w:val="bottom"/>
            <w:tcBorders>
              <w:bottom w:val="single" w:sz="8" w:color="CCEEFF"/>
            </w:tcBorders>
          </w:tcPr>
          <w:p>
            <w:pPr>
              <w:spacing w:after="0"/>
              <w:rPr>
                <w:sz w:val="24"/>
                <w:szCs w:val="24"/>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316,321</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397,086</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634,892</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142,269</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167,451</w:t>
            </w: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190,702</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188,886</w:t>
            </w:r>
          </w:p>
        </w:tc>
        <w:tc>
          <w:tcPr>
            <w:tcW w:w="7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5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3"/>
                <w:szCs w:val="13"/>
                <w:color w:val="auto"/>
              </w:rPr>
              <w:t>(5)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63,311</w:t>
            </w:r>
          </w:p>
        </w:tc>
        <w:tc>
          <w:tcPr>
            <w:tcW w:w="62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rPr>
              <w:t>(5)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87,863</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6,482</w:t>
            </w:r>
          </w:p>
        </w:tc>
        <w:tc>
          <w:tcPr>
            <w:tcW w:w="7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w w:val="91"/>
              </w:rPr>
              <w:t>(5),(6),(7)</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0.85</w:t>
            </w: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740" w:type="dxa"/>
            <w:vAlign w:val="bottom"/>
          </w:tcPr>
          <w:p>
            <w:pPr>
              <w:spacing w:after="0"/>
              <w:rPr>
                <w:sz w:val="21"/>
                <w:szCs w:val="21"/>
                <w:color w:val="auto"/>
              </w:rPr>
            </w:pPr>
          </w:p>
        </w:tc>
      </w:tr>
      <w:tr>
        <w:trPr>
          <w:trHeight w:val="554"/>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2014 Quarter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300" w:type="dxa"/>
            <w:vAlign w:val="bottom"/>
          </w:tcPr>
          <w:p>
            <w:pPr>
              <w:spacing w:after="0"/>
              <w:rPr>
                <w:sz w:val="23"/>
                <w:szCs w:val="23"/>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First</w:t>
            </w:r>
          </w:p>
        </w:tc>
        <w:tc>
          <w:tcPr>
            <w:tcW w:w="58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Second</w:t>
            </w:r>
          </w:p>
        </w:tc>
        <w:tc>
          <w:tcPr>
            <w:tcW w:w="620" w:type="dxa"/>
            <w:vAlign w:val="bottom"/>
          </w:tcPr>
          <w:p>
            <w:pPr>
              <w:spacing w:after="0"/>
              <w:rPr>
                <w:sz w:val="23"/>
                <w:szCs w:val="23"/>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Third</w:t>
            </w: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740" w:type="dxa"/>
            <w:vAlign w:val="bottom"/>
          </w:tcPr>
          <w:p>
            <w:pPr>
              <w:spacing w:after="0"/>
              <w:rPr>
                <w:sz w:val="23"/>
                <w:szCs w:val="23"/>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292,996</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310,716</w:t>
            </w:r>
          </w:p>
        </w:tc>
        <w:tc>
          <w:tcPr>
            <w:tcW w:w="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288,520</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255,999</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93,469</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104,656</w:t>
            </w: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107,523</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99,279</w:t>
            </w:r>
          </w:p>
        </w:tc>
        <w:tc>
          <w:tcPr>
            <w:tcW w:w="7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5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62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(1),(2)</w:t>
            </w:r>
          </w:p>
        </w:tc>
        <w:tc>
          <w:tcPr>
            <w:tcW w:w="28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337"/>
              <w:spacing w:after="0" w:line="270" w:lineRule="exact"/>
              <w:rPr>
                <w:sz w:val="20"/>
                <w:szCs w:val="20"/>
                <w:color w:val="auto"/>
              </w:rPr>
            </w:pPr>
            <w:r>
              <w:rPr>
                <w:rFonts w:ascii="Arial" w:cs="Arial" w:eastAsia="Arial" w:hAnsi="Arial"/>
                <w:sz w:val="18"/>
                <w:szCs w:val="18"/>
                <w:color w:val="auto"/>
              </w:rPr>
              <w:t xml:space="preserve">(1,046) </w:t>
            </w:r>
            <w:r>
              <w:rPr>
                <w:rFonts w:ascii="Arial" w:cs="Arial" w:eastAsia="Arial" w:hAnsi="Arial"/>
                <w:sz w:val="25"/>
                <w:szCs w:val="25"/>
                <w:color w:val="auto"/>
                <w:vertAlign w:val="superscript"/>
              </w:rPr>
              <w:t>(1),(3)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Net income (loss) per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5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Pr>
          <w:p>
            <w:pPr>
              <w:spacing w:after="0"/>
              <w:rPr>
                <w:sz w:val="21"/>
                <w:szCs w:val="21"/>
                <w:color w:val="auto"/>
              </w:rPr>
            </w:pPr>
          </w:p>
        </w:tc>
      </w:tr>
    </w:tbl>
    <w:p>
      <w:pPr>
        <w:spacing w:after="0" w:line="170"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Company recorded restructuring expenses of $2.9 million, $2.3 million, $3.0 million, and $2.9 million, in the first, second, third and fourth quarters of fiscal 2014, respectively (Note 11).</w:t>
      </w:r>
    </w:p>
    <w:p>
      <w:pPr>
        <w:spacing w:after="0" w:line="24" w:lineRule="exact"/>
        <w:rPr>
          <w:rFonts w:ascii="Arial" w:cs="Arial" w:eastAsia="Arial" w:hAnsi="Arial"/>
          <w:sz w:val="13"/>
          <w:szCs w:val="13"/>
          <w:color w:val="auto"/>
        </w:rPr>
      </w:pPr>
    </w:p>
    <w:p>
      <w:pPr>
        <w:ind w:left="160" w:hanging="152"/>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third quarter of fiscal 2014, the Company recorded acquisition related expenses associated with the Business Combination, of $2.9 million (Note 5).</w:t>
      </w:r>
    </w:p>
    <w:p>
      <w:pPr>
        <w:spacing w:after="0" w:line="1" w:lineRule="exact"/>
        <w:rPr>
          <w:rFonts w:ascii="Arial" w:cs="Arial" w:eastAsia="Arial" w:hAnsi="Arial"/>
          <w:sz w:val="14"/>
          <w:szCs w:val="14"/>
          <w:color w:val="auto"/>
        </w:rPr>
      </w:pPr>
    </w:p>
    <w:p>
      <w:pPr>
        <w:ind w:left="180" w:right="80" w:hanging="172"/>
        <w:spacing w:after="0" w:line="241" w:lineRule="auto"/>
        <w:tabs>
          <w:tab w:leader="none" w:pos="162"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fourth quarter of fiscal 2014, the Company impaired intangible assets of $11.3 million related to the Amalfi acquisition (Note 7) and recorded acquisition and integration related expenses associated with the Business Combination of $2.2 million (Note 5).</w:t>
      </w:r>
    </w:p>
    <w:p>
      <w:pPr>
        <w:ind w:left="180" w:right="360" w:hanging="172"/>
        <w:spacing w:after="0" w:line="241" w:lineRule="auto"/>
        <w:tabs>
          <w:tab w:leader="none" w:pos="16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Business Combination was completed on January 1, 2015, and as a result, TriQuint's results of operations which include revenue of $259.5 million and a net loss of $132.5 million, are included for the period of January 1, 2015 through March 28, 2015.</w:t>
      </w:r>
    </w:p>
    <w:p>
      <w:pPr>
        <w:ind w:left="180" w:right="240" w:hanging="172"/>
        <w:spacing w:after="0" w:line="241" w:lineRule="auto"/>
        <w:tabs>
          <w:tab w:leader="none" w:pos="16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 recorded acquisition and integration related expenses of $8.5 million, $7.4 million, $7.5 million, and $20.1 million, in the first, second, third and fourth quarters of fiscal 2015, respectively, associated with the Business Combination (Note 5).</w:t>
      </w:r>
    </w:p>
    <w:p>
      <w:pPr>
        <w:ind w:left="160" w:hanging="152"/>
        <w:spacing w:after="0"/>
        <w:tabs>
          <w:tab w:leader="none" w:pos="1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 recorded restructuring expenses of $10.9 million, associated with the Business Combination (Note 5).</w:t>
      </w:r>
    </w:p>
    <w:p>
      <w:pPr>
        <w:spacing w:after="0" w:line="1" w:lineRule="exact"/>
        <w:rPr>
          <w:rFonts w:ascii="Arial" w:cs="Arial" w:eastAsia="Arial" w:hAnsi="Arial"/>
          <w:sz w:val="14"/>
          <w:szCs w:val="14"/>
          <w:color w:val="auto"/>
        </w:rPr>
      </w:pPr>
    </w:p>
    <w:p>
      <w:pPr>
        <w:ind w:left="180" w:hanging="172"/>
        <w:spacing w:after="0" w:line="255" w:lineRule="auto"/>
        <w:tabs>
          <w:tab w:leader="none" w:pos="162"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Income tax benefit of $110.0 million for the fourth quarter of fiscal 2015 consists of an income tax benefit generated by the reduction in the valuation reserve against domestic deferred tax assets which offset the income tax expense from operations (Note 12).</w:t>
      </w:r>
    </w:p>
    <w:p>
      <w:pPr>
        <w:spacing w:after="0" w:line="1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Each quarter of fiscal 2015 and fiscal 2014 contained a comparable number of weeks (13 weeks).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130" w:right="3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7, 2015, the Company and certain material domestic subsidiaries of the Company (the “Guarantors”) entered into a five-year unsecured senior credit facility with Bank of America, N.A., as administrative agent (in such capacity, the “Administrative Agent”), swing line lender, and L/C issuer, and a syndicate of lenders (the “Credit Agreement”). The Credit Agreement includes a $300 million revolving credit facility, which includes a $25 million sublimit for the issuance of standby letters of credit and a $10 million sublimit for swingline loans. The Company may request, at any time and from time to time, that the revolving credit facility be increased by an amount not to exceed $150 million. The revolving credit facility is available to finance working capital, capital expenditures and other lawful corporate purposes. The Company’s obligations under the Credit Agreement are jointly and severally guaranteed by the Guarantors. The Company currently has no outstanding amounts under the Credit Agreement.</w:t>
      </w:r>
    </w:p>
    <w:p>
      <w:pPr>
        <w:spacing w:after="0" w:line="17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At the Company’s option, loans under the Credit Agreement shall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Rate plus 1.0% (the “Base Rate”). All swingline loans will bear interest at a rate equal to the Applicable Rate plus the Base Rate. The Eurodollar Rate is the rate per annum equal to the London Interbank Offered Rate, as published by Bloomberg, for dollar deposits for interest periods of one, two, three or six months, as selected by the Company. The Applicable Rate for Eurodollar Rate loans ranges from</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1.50% per annum to 2.00% per annum. The Applicable Rate for Base Rate loans ranges from 0.50% per annum to 1.00% per annum. Interest for Eurodollar Rate loans shall be payable at the end of each applicable interest period or at three-month intervals, if such interest period exceeds three months. Interest for Base Rate loans shall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including financial covenants that the Company must maintain a consolidated leverage ratio not to exceed 2.50 to 1.0 as of the end of any fiscal quarter of the Company and a consolidated interest coverage ratio not to be less than 3.00 to 1.0 as of the end of any fiscal quarter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swingline option due in full no later than ten business days after such loan is made).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Qorvo, Inc. and Subsidiaries</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Management of the Company is responsible for the preparation, integrity, accuracy and fair presentation of the Consolidated Financial Statements appearing in our Annual Report on Form 10-K for the fiscal year ended March 28, 2015. The financial statements were prepared in conformity with generally accepted accounting principles in the United States (GAAP) and include amounts based on judgments and estimates by management.</w:t>
      </w:r>
    </w:p>
    <w:p>
      <w:pPr>
        <w:spacing w:after="0" w:line="166"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as such term is defined in Rule 13a-15(f) under the Exchange Act. The Company’s internal control over financial reporting is designed to provide reasonable assurance regarding the reliability of financial reporting and the preparation of the Consolidated Financial Statements in accordance with GAAP. Our internal control over financial reporting is supported by internal audits, appropriate reviews by management, policies and guidelines, careful selection and training of qualified personnel, and codes of ethics adopted by our Company's Board of Directors that are applicable to all directors, officers and employees of our Company.</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Because of its inherent limitations, no matter how well designed, internal control over financial reporting may not prevent or detect all misstatements. Internal controls can only provide reasonable assurance with respect to financial statement preparation and presentation. Further, the evaluation of the effectiveness of internal control over financial reporting was made as of a specific date, and continued effectiveness in future periods is subject to the risks that the controls may become inadequate because of changes in conditions or that the degree of compliance with the policies and procedures may decline.</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Management assessed the effectiveness of the Company’s internal control over financial reporting, with the participation of the Company's Chief Executive Officer and Chief Financial Officer, as of March 28, 2015. In conducting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(1992 framework)</w:t>
      </w:r>
      <w:r>
        <w:rPr>
          <w:rFonts w:ascii="Arial" w:cs="Arial" w:eastAsia="Arial" w:hAnsi="Arial"/>
          <w:sz w:val="17"/>
          <w:szCs w:val="17"/>
          <w:i w:val="1"/>
          <w:iCs w:val="1"/>
          <w:color w:val="auto"/>
        </w:rPr>
        <w:t>.</w:t>
      </w:r>
      <w:r>
        <w:rPr>
          <w:rFonts w:ascii="Arial" w:cs="Arial" w:eastAsia="Arial" w:hAnsi="Arial"/>
          <w:sz w:val="17"/>
          <w:szCs w:val="17"/>
          <w:color w:val="auto"/>
        </w:rPr>
        <w:t xml:space="preserve"> Based on our assessment, management believes that the Company maintained effective internal control over financial reporting as of March 28, 2015.</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auditors, KPMG LLP, an independent registered public accounting firm, are appointed by the Audit Committee of the Company’s Board of Directors. KPMG LLP has audited and reported on the Consolidated Financial Statements of Qorvo, Inc. and subsidiaries and has issued an attestation report on the Company’s internal control over financial reporting. The reports of the independent registered public accounting firm are contained in this Annual Report on Form 10-K for the fiscal year ended March 28,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Qorvo, Inc. and Subsidiaries</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Qorvo, Inc. and subsidiaries (the Company) as of March 28, 2015, and the related consolidated statements of operations, comprehensive income (loss), stockholders’ equity, and cash flows for the year ended March 28, 2015. These consolidated financial statements are the responsibility of the Company’s management. Our responsibility is to express an opinion on these consolidated financial statements based on our audit.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Qorvo, Inc. and subsidiaries as of March 28, 2015, and the results of their operations and their cash flows for the year ended March 28, 2015,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Qorvo, Inc.’s internal control over financial reporting as of March 28, 2015,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 and our report dated May 27, 2015 expressed an unqualified opinion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and Subsidiaries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RF Micro Devices, Inc. and Subsidiaries (or the “Company”) as of March 29, 2014, and the related consolidated statements of operations, comprehensive income (loss), shareholders' equity, and cash flows for each of the two years in the period ended March 29,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RF Micro Devices, Inc. and Subsidiaries at March 29, 2014, and the consolidated results of their operations and their cash flows for each of the two years in the period ended March 29, 2014, in conformity with U.S. generally accepted accounting principles.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effect of the reverse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split described in Note 13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segment presentation in Note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May 27,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Qorvo, Inc. and Subsidiaries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We have audited Qorvo, Inc.’s internal control over financial reporting as of March 28, 2015,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(1992) </w:t>
      </w:r>
      <w:r>
        <w:rPr>
          <w:rFonts w:ascii="Arial" w:cs="Arial" w:eastAsia="Arial" w:hAnsi="Arial"/>
          <w:sz w:val="18"/>
          <w:szCs w:val="18"/>
          <w:color w:val="auto"/>
        </w:rPr>
        <w:t>issued by the Committee of Sponsoring Organizations of the Treadway Commission (COSO) . Qorvo, Inc.’s management is responsible</w:t>
      </w:r>
      <w:r>
        <w:rPr>
          <w:rFonts w:ascii="Arial" w:cs="Arial" w:eastAsia="Arial" w:hAnsi="Arial"/>
          <w:sz w:val="18"/>
          <w:szCs w:val="18"/>
          <w:i w:val="1"/>
          <w:iCs w:val="1"/>
          <w:color w:val="auto"/>
        </w:rPr>
        <w:t xml:space="preserve"> </w:t>
      </w:r>
      <w:r>
        <w:rPr>
          <w:rFonts w:ascii="Arial" w:cs="Arial" w:eastAsia="Arial" w:hAnsi="Arial"/>
          <w:sz w:val="18"/>
          <w:szCs w:val="18"/>
          <w:color w:val="auto"/>
        </w:rPr>
        <w:t>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Qorvo, Inc. maintained, in all material respects, effective internal control over financial reporting as of March 28, 2015,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issued by the Committee of Sponsoring Organizations of the Treadway Commission (COSO).</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 of Qorvo, Inc. and subsidiaries as of March 28, 2015, and the related consolidated statements of operations, comprehensive income (loss), stockholders’ equity, and cash flows for the year ended March 28, 2015, and our report dated May 27, 2015 expressed an unqualified opinion on those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ind w:left="5"/>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65" w:hanging="252"/>
        <w:spacing w:after="0"/>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left="265" w:right="100" w:hanging="53"/>
        <w:spacing w:after="0" w:line="270"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and the Chief Financial Officer, evaluated the effectiveness of the Company’s disclosure controls and procedures in accordance with Rule 13a-15 under the Exchange Act. Based on their evaluation as of the end of the period covered by this report, the Chief Executive Officer and the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The Company's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decisions regarding required disclosure.</w:t>
      </w:r>
    </w:p>
    <w:p>
      <w:pPr>
        <w:spacing w:after="0" w:line="182" w:lineRule="exact"/>
        <w:rPr>
          <w:sz w:val="20"/>
          <w:szCs w:val="20"/>
          <w:color w:val="auto"/>
        </w:rPr>
      </w:pPr>
    </w:p>
    <w:p>
      <w:pPr>
        <w:ind w:left="245" w:hanging="245"/>
        <w:spacing w:after="0"/>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Internal control over financial reporting</w:t>
      </w:r>
    </w:p>
    <w:p>
      <w:pPr>
        <w:spacing w:after="0" w:line="225" w:lineRule="exact"/>
        <w:rPr>
          <w:rFonts w:ascii="Arial" w:cs="Arial" w:eastAsia="Arial" w:hAnsi="Arial"/>
          <w:sz w:val="18"/>
          <w:szCs w:val="18"/>
          <w:color w:val="auto"/>
        </w:rPr>
      </w:pPr>
    </w:p>
    <w:p>
      <w:pPr>
        <w:ind w:left="265" w:right="80"/>
        <w:spacing w:after="0" w:line="277" w:lineRule="auto"/>
        <w:rPr>
          <w:rFonts w:ascii="Arial" w:cs="Arial" w:eastAsia="Arial" w:hAnsi="Arial"/>
          <w:sz w:val="18"/>
          <w:szCs w:val="18"/>
          <w:color w:val="auto"/>
        </w:rPr>
      </w:pPr>
      <w:r>
        <w:rPr>
          <w:rFonts w:ascii="Arial" w:cs="Arial" w:eastAsia="Arial" w:hAnsi="Arial"/>
          <w:sz w:val="18"/>
          <w:szCs w:val="18"/>
          <w:color w:val="auto"/>
        </w:rPr>
        <w:t>Our Report of Management on Internal Control Over Financial Reporting is included with the financial statements in Part II, Item 8 of this Annual Report on Form 10-K and is incorporated herein by reference.</w:t>
      </w:r>
    </w:p>
    <w:p>
      <w:pPr>
        <w:spacing w:after="0" w:line="170" w:lineRule="exact"/>
        <w:rPr>
          <w:rFonts w:ascii="Arial" w:cs="Arial" w:eastAsia="Arial" w:hAnsi="Arial"/>
          <w:sz w:val="18"/>
          <w:szCs w:val="18"/>
          <w:color w:val="auto"/>
        </w:rPr>
      </w:pPr>
    </w:p>
    <w:p>
      <w:pPr>
        <w:ind w:left="265" w:right="200"/>
        <w:spacing w:after="0" w:line="277" w:lineRule="auto"/>
        <w:rPr>
          <w:rFonts w:ascii="Arial" w:cs="Arial" w:eastAsia="Arial" w:hAnsi="Arial"/>
          <w:sz w:val="18"/>
          <w:szCs w:val="18"/>
          <w:color w:val="auto"/>
        </w:rPr>
      </w:pPr>
      <w:r>
        <w:rPr>
          <w:rFonts w:ascii="Arial" w:cs="Arial" w:eastAsia="Arial" w:hAnsi="Arial"/>
          <w:sz w:val="18"/>
          <w:szCs w:val="18"/>
          <w:color w:val="auto"/>
        </w:rPr>
        <w:t>The Report of Independent Registered Public Accounting Firm on Internal Control Over Financial Reporting is included with the financial statements in Part II, Item 8 of this Annual Report on Form 10-K and is incorporated herein by reference.</w:t>
      </w:r>
    </w:p>
    <w:p>
      <w:pPr>
        <w:spacing w:after="0" w:line="170" w:lineRule="exact"/>
        <w:rPr>
          <w:rFonts w:ascii="Arial" w:cs="Arial" w:eastAsia="Arial" w:hAnsi="Arial"/>
          <w:sz w:val="18"/>
          <w:szCs w:val="18"/>
          <w:color w:val="auto"/>
        </w:rPr>
      </w:pPr>
    </w:p>
    <w:p>
      <w:pPr>
        <w:ind w:left="245" w:hanging="245"/>
        <w:spacing w:after="0"/>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306" w:lineRule="exact"/>
        <w:rPr>
          <w:rFonts w:ascii="Arial" w:cs="Arial" w:eastAsia="Arial" w:hAnsi="Arial"/>
          <w:sz w:val="18"/>
          <w:szCs w:val="18"/>
          <w:color w:val="auto"/>
        </w:rPr>
      </w:pPr>
    </w:p>
    <w:p>
      <w:pPr>
        <w:ind w:left="265" w:right="200"/>
        <w:spacing w:after="0" w:line="279" w:lineRule="auto"/>
        <w:rPr>
          <w:rFonts w:ascii="Arial" w:cs="Arial" w:eastAsia="Arial" w:hAnsi="Arial"/>
          <w:sz w:val="18"/>
          <w:szCs w:val="18"/>
          <w:color w:val="auto"/>
        </w:rPr>
      </w:pPr>
      <w:r>
        <w:rPr>
          <w:rFonts w:ascii="Arial" w:cs="Arial" w:eastAsia="Arial" w:hAnsi="Arial"/>
          <w:sz w:val="17"/>
          <w:szCs w:val="17"/>
          <w:color w:val="auto"/>
        </w:rPr>
        <w:t>On January 1, 2015, the Business Combination was consummated between RFMD and TriQuint. As a result of the Business Combination, the Company has incorporated internal controls over significant processes specific to TriQuint and the Business Combination that it believes to be appropriate and necessary in consideration of the level of related integration. As the Company further integrates the TriQuint business, it will continue to review the internal controls and may take further steps to ensure that the internal controls are effective and integrated appropriately.</w:t>
      </w:r>
    </w:p>
    <w:p>
      <w:pPr>
        <w:spacing w:after="0" w:line="117" w:lineRule="exact"/>
        <w:rPr>
          <w:rFonts w:ascii="Arial" w:cs="Arial" w:eastAsia="Arial" w:hAnsi="Arial"/>
          <w:sz w:val="18"/>
          <w:szCs w:val="18"/>
          <w:color w:val="auto"/>
        </w:rPr>
      </w:pPr>
    </w:p>
    <w:p>
      <w:pPr>
        <w:ind w:left="265"/>
        <w:spacing w:after="0" w:line="264" w:lineRule="auto"/>
        <w:rPr>
          <w:rFonts w:ascii="Arial" w:cs="Arial" w:eastAsia="Arial" w:hAnsi="Arial"/>
          <w:sz w:val="18"/>
          <w:szCs w:val="18"/>
          <w:color w:val="auto"/>
        </w:rPr>
      </w:pPr>
      <w:r>
        <w:rPr>
          <w:rFonts w:ascii="Arial" w:cs="Arial" w:eastAsia="Arial" w:hAnsi="Arial"/>
          <w:sz w:val="18"/>
          <w:szCs w:val="18"/>
          <w:color w:val="auto"/>
        </w:rPr>
        <w:t>Except for the paragraph above, no change in our internal control over financial reporting (as defined in Rules 13a-15(f) and 15d-15(f) under the Exchange Act) occurred during the quarter ended March 28, 2015 that has materially affected, or is reasonably likely to materially affect, our internal control over financial reporting.</w:t>
      </w:r>
    </w:p>
    <w:p>
      <w:pPr>
        <w:spacing w:after="0" w:line="17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5" w:right="2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2015 Annual Meeting of Stockholders under the captions "Corporate Governance," "Executive Officers," "Proposal 1 - Election of Directors" and "Section 16(a) Beneficial Ownership Reporting Compliance," and the information therein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5"/>
          </w:cols>
          <w:pgMar w:left="235" w:top="130"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may be found in our definitive proxy statement for our 2015 Annual Meeting of Stockholders under the captions "Executive Compensation" and "Compensation Committee Interlocks and Insider Participation," and the information therein is incorporated herein by reference.</w:t>
      </w:r>
    </w:p>
    <w:p>
      <w:pPr>
        <w:spacing w:after="0" w:line="120"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2015 Annual Meeting of Stockholders under the captions "Security Ownership of Certain Beneficial Owners and Management" and "Equity Compensation Plan Information,"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2015 Annual Meeting of Stockholders under the captions "Related Person Transactions" and "Corporate Governance," and the information therein is incorporated herein by reference.</w:t>
      </w:r>
    </w:p>
    <w:p>
      <w:pPr>
        <w:sectPr>
          <w:pgSz w:w="11900" w:h="16838" w:orient="portrait"/>
          <w:cols w:equalWidth="0" w:num="1">
            <w:col w:w="11400"/>
          </w:cols>
          <w:pgMar w:left="240" w:top="130"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2015 Annual Meeting of Stockholders under the captions “Proposal 4 - Ratification of Appointment of Independent Registered Public Accounting Firm” and “Corporate Governance,”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Balance Sheets as of March 28, 2015 and March 29,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2015, 2014 and 2013.</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fiscal years 2015, 2014 and 2013.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2015, 2014 and 2013.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2015, 2014 and 2013.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Report of Management on Internal Control Over Financial Reporting.</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340" w:right="140" w:hanging="8"/>
        <w:spacing w:after="0" w:line="277" w:lineRule="auto"/>
        <w:tabs>
          <w:tab w:leader="none" w:pos="7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Exhibit Index.</w:t>
      </w:r>
    </w:p>
    <w:p>
      <w:pPr>
        <w:spacing w:after="0" w:line="211" w:lineRule="exact"/>
        <w:rPr>
          <w:sz w:val="20"/>
          <w:szCs w:val="20"/>
          <w:color w:val="auto"/>
        </w:rPr>
      </w:pPr>
    </w:p>
    <w:p>
      <w:pPr>
        <w:ind w:left="340" w:right="7880" w:hanging="33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7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27, 2015</w:t>
      </w:r>
      <w:r>
        <w:rPr>
          <w:sz w:val="20"/>
          <w:szCs w:val="20"/>
          <w:color w:val="auto"/>
        </w:rPr>
        <w:tab/>
      </w:r>
      <w:r>
        <w:rPr>
          <w:rFonts w:ascii="Arial" w:cs="Arial" w:eastAsia="Arial" w:hAnsi="Arial"/>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18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Robert A. Bruggeworth</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Steven J. Buhaly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130" w:right="31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27,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 Robert A. Bruggeworth</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Robert A. Bruggeworth</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Steven J. Buhaly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Steven J. Buhaly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 and Secretary</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Michael J. Laber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Michael J. Laber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Ralph G. Quinsey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Ralph G. Quinsey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Daniel A. DiLeo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Daniel A. DiLeo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Jeffery R. Gardner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Jeffery R. Gardner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Charles Scott Gibson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Charles Scott Gibson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John R. Harding</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John R. Harding</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David H.Y. Ho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David H.Y. Ho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Roderick D. Nelson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Roderick D. Nelson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Walden C. Rhines</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Walden C. Rhines</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Walter H. Wilkinson, Jr.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Walter H. Wilkinson, Jr.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30"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280" w:type="dxa"/>
            <w:vAlign w:val="bottom"/>
            <w:gridSpan w:val="4"/>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700" w:type="dxa"/>
            <w:vAlign w:val="bottom"/>
          </w:tcPr>
          <w:p>
            <w:pPr>
              <w:spacing w:after="0"/>
              <w:rPr>
                <w:sz w:val="16"/>
                <w:szCs w:val="16"/>
                <w:color w:val="auto"/>
              </w:rPr>
            </w:pPr>
          </w:p>
        </w:tc>
      </w:tr>
      <w:tr>
        <w:trPr>
          <w:trHeight w:val="628"/>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700" w:type="dxa"/>
            <w:vAlign w:val="bottom"/>
          </w:tcPr>
          <w:p>
            <w:pPr>
              <w:ind w:left="3220"/>
              <w:spacing w:after="0"/>
              <w:rPr>
                <w:sz w:val="20"/>
                <w:szCs w:val="20"/>
                <w:color w:val="auto"/>
              </w:rPr>
            </w:pPr>
            <w:r>
              <w:rPr>
                <w:rFonts w:ascii="Arial" w:cs="Arial" w:eastAsia="Arial" w:hAnsi="Arial"/>
                <w:sz w:val="18"/>
                <w:szCs w:val="18"/>
                <w:b w:val="1"/>
                <w:bCs w:val="1"/>
                <w:color w:val="auto"/>
              </w:rPr>
              <w:t>EXHIBIT INDEX</w:t>
            </w:r>
          </w:p>
        </w:tc>
      </w:tr>
      <w:tr>
        <w:trPr>
          <w:trHeight w:val="252"/>
        </w:trPr>
        <w:tc>
          <w:tcPr>
            <w:tcW w:w="1280" w:type="dxa"/>
            <w:vAlign w:val="bottom"/>
            <w:gridSpan w:val="4"/>
          </w:tcPr>
          <w:p>
            <w:pPr>
              <w:ind w:left="44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194"/>
        </w:trPr>
        <w:tc>
          <w:tcPr>
            <w:tcW w:w="440" w:type="dxa"/>
            <w:vAlign w:val="bottom"/>
          </w:tcPr>
          <w:p>
            <w:pPr>
              <w:spacing w:after="0"/>
              <w:rPr>
                <w:sz w:val="16"/>
                <w:szCs w:val="16"/>
                <w:color w:val="auto"/>
              </w:rPr>
            </w:pPr>
          </w:p>
        </w:tc>
        <w:tc>
          <w:tcPr>
            <w:tcW w:w="840" w:type="dxa"/>
            <w:vAlign w:val="bottom"/>
            <w:gridSpan w:val="3"/>
          </w:tcPr>
          <w:p>
            <w:pPr>
              <w:ind w:left="100"/>
              <w:spacing w:after="0" w:line="174" w:lineRule="exact"/>
              <w:rPr>
                <w:sz w:val="20"/>
                <w:szCs w:val="20"/>
                <w:color w:val="auto"/>
              </w:rPr>
            </w:pPr>
            <w:r>
              <w:rPr>
                <w:rFonts w:ascii="Arial" w:cs="Arial" w:eastAsia="Arial" w:hAnsi="Arial"/>
                <w:sz w:val="18"/>
                <w:szCs w:val="18"/>
                <w:b w:val="1"/>
                <w:bCs w:val="1"/>
                <w:color w:val="auto"/>
              </w:rPr>
              <w:t>No.</w:t>
            </w:r>
          </w:p>
        </w:tc>
        <w:tc>
          <w:tcPr>
            <w:tcW w:w="9700" w:type="dxa"/>
            <w:vAlign w:val="bottom"/>
            <w:gridSpan w:val="3"/>
          </w:tcPr>
          <w:p>
            <w:pPr>
              <w:ind w:left="120"/>
              <w:spacing w:after="0" w:line="174" w:lineRule="exact"/>
              <w:rPr>
                <w:sz w:val="20"/>
                <w:szCs w:val="20"/>
                <w:color w:val="auto"/>
              </w:rPr>
            </w:pPr>
            <w:r>
              <w:rPr>
                <w:rFonts w:ascii="Arial" w:cs="Arial" w:eastAsia="Arial" w:hAnsi="Arial"/>
                <w:sz w:val="18"/>
                <w:szCs w:val="18"/>
                <w:b w:val="1"/>
                <w:bCs w:val="1"/>
                <w:color w:val="auto"/>
              </w:rPr>
              <w:t>Description</w:t>
            </w:r>
          </w:p>
        </w:tc>
      </w:tr>
      <w:tr>
        <w:trPr>
          <w:trHeight w:val="27"/>
        </w:trPr>
        <w:tc>
          <w:tcPr>
            <w:tcW w:w="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700" w:type="dxa"/>
            <w:vAlign w:val="bottom"/>
          </w:tcPr>
          <w:p>
            <w:pPr>
              <w:spacing w:after="0"/>
              <w:rPr>
                <w:sz w:val="2"/>
                <w:szCs w:val="2"/>
                <w:color w:val="auto"/>
              </w:rPr>
            </w:pPr>
          </w:p>
        </w:tc>
      </w:tr>
      <w:tr>
        <w:trPr>
          <w:trHeight w:val="283"/>
        </w:trPr>
        <w:tc>
          <w:tcPr>
            <w:tcW w:w="800" w:type="dxa"/>
            <w:vAlign w:val="bottom"/>
            <w:gridSpan w:val="2"/>
          </w:tcPr>
          <w:p>
            <w:pPr>
              <w:ind w:left="4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1"/>
              </w:rPr>
              <w:t>Agreement and Plan of Merger and Reorganization dated February 22, 2014, by and among TriQuint Semiconductor, Inc., RF Micro</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1"/>
              </w:rPr>
              <w:t>Devices, Inc. and Rocky Holding, Inc. (incorporated by reference to Exhibit 2.1 to Amendment No. 3 to the Company’s Registration</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Statement on Form S-4 filed with the SEC on July 21, 2014 (File No. 333-195236))</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0"/>
              </w:rPr>
              <w:t>First Amendment to Agreement and Plan of Merger and Reorganization, dated July 15, 2014, by and among RF Micro Devices, Inc.,</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8"/>
              </w:rPr>
              <w:t>TriQuint Semiconductor, Inc. and Rocky Holding, Inc. (incorporated by reference to Exhibit 2.2 to Amendment No. 3 to the</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filed with the SEC on July 21, 2014 (File No. 333-195236))</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Certificate of Incorporation of Qorvo, Inc., as amended (incorporated by reference to Exhibit 3.1 to the</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Company’s Quarterly Report on Form 10-Q filed with the SEC on February 3, 2015)</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2"/>
              </w:rPr>
              <w:t>Amended and Restated Bylaws of Qorvo, Inc. (incorporated by reference to Exhibit 3.2 to the Company’s Report on Form 8-K12B</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filed with the SEC on January 2, 2015)</w:t>
            </w:r>
          </w:p>
        </w:tc>
      </w:tr>
      <w:tr>
        <w:trPr>
          <w:trHeight w:val="270"/>
        </w:trPr>
        <w:tc>
          <w:tcPr>
            <w:tcW w:w="800" w:type="dxa"/>
            <w:vAlign w:val="bottom"/>
            <w:gridSpan w:val="2"/>
          </w:tcPr>
          <w:p>
            <w:pPr>
              <w:ind w:left="44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Specimen Certificate of Common Stock of Qorvo, Inc.</w:t>
            </w:r>
          </w:p>
        </w:tc>
      </w:tr>
      <w:tr>
        <w:trPr>
          <w:trHeight w:val="270"/>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10.1</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Qorvo, Inc. 2007 Employee Stock Purchase Plan (As Assumed and Amended by Qorvo, Inc.)*</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10.2</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6"/>
              </w:rPr>
              <w:t>Qorvo, Inc. 2013 Incentive Plan (As Assumed and Amended by Qorvo, Inc.) (incorporated by reference to Exhibit 99.2 to the</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S-8 filed with the SEC on January 5, 2015 (File No. 333-201357))*</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10.3</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8"/>
              </w:rPr>
              <w:t>Qorvo, Inc. 2012 Incentive Plan (As Assumed by Qorvo, Inc.) (incorporated by reference to Exhibit 99.3 to the Company’s</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10.4</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8"/>
              </w:rPr>
              <w:t>Qorvo, Inc. 2009 Incentive Plan (As Assumed by Qorvo, Inc.) (incorporated by reference to Exhibit 99.4 to the Company’s</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10.5</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3"/>
              </w:rPr>
              <w:t>Qorvo, Inc. 2008 Inducement Program (As Assumed by Qorvo, Inc.) (incorporated by reference to Exhibit 99.5 to the Company’s</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S-8 filed with the SEC on January 5, 2015 (File No. 333-201357))*</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10.6</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Qorvo, Inc. 1996 Stock Incentive Program (As Assumed by Qorvo, Inc.) (incorporated by reference to Exhibit 99.6 to the</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S-8 filed with the SEC on January 5, 2015 (File No. 333-201357))*</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10.7</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8"/>
              </w:rPr>
              <w:t>Qorvo, Inc. 2012 Stock Incentive Plan (As Assumed by Qorvo, Inc. and Amended and Restated Effective January 1, 2015)</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99.1 to the Company’s Registration Statement on Form S-8 filed with the SEC on January 5,</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2015 (File No. 333-201358))*</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10.8</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4"/>
              </w:rPr>
              <w:t>2003 Stock Incentive Plan of Qorvo, Inc. (As Assumed and Amended by Qorvo, Inc. Effective January 1, 2015) (incorporated by</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4"/>
              </w:rPr>
              <w:t>reference to Exhibit 99.2 to the Company’s Registration Statement on Form S-8 filed with the SEC on January 5, 2015 (File No.</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333-201358))*</w:t>
            </w:r>
          </w:p>
        </w:tc>
      </w:tr>
      <w:tr>
        <w:trPr>
          <w:trHeight w:val="256"/>
        </w:trPr>
        <w:tc>
          <w:tcPr>
            <w:tcW w:w="800" w:type="dxa"/>
            <w:vAlign w:val="bottom"/>
            <w:gridSpan w:val="2"/>
          </w:tcPr>
          <w:p>
            <w:pPr>
              <w:ind w:left="440"/>
              <w:spacing w:after="0"/>
              <w:rPr>
                <w:sz w:val="20"/>
                <w:szCs w:val="20"/>
                <w:color w:val="auto"/>
              </w:rPr>
            </w:pPr>
            <w:r>
              <w:rPr>
                <w:rFonts w:ascii="Arial" w:cs="Arial" w:eastAsia="Arial" w:hAnsi="Arial"/>
                <w:sz w:val="18"/>
                <w:szCs w:val="18"/>
                <w:color w:val="auto"/>
                <w:w w:val="96"/>
              </w:rPr>
              <w:t>10.9</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2"/>
              </w:rPr>
              <w:t>Qorvo, Inc. 2006 Directors Stock Option Plan (As Assumed by Qorvo, Inc. and Amended Effective January 1, 2015) (incorporated</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2"/>
              </w:rPr>
              <w:t>by reference to Exhibit 99.3 to the Company’s Registration Statement on Form S-8 filed with the SEC on January 5, 2015 (File No.</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333-201358))*</w:t>
            </w:r>
          </w:p>
        </w:tc>
      </w:tr>
      <w:tr>
        <w:trPr>
          <w:trHeight w:val="256"/>
        </w:trPr>
        <w:tc>
          <w:tcPr>
            <w:tcW w:w="1160" w:type="dxa"/>
            <w:vAlign w:val="bottom"/>
            <w:gridSpan w:val="3"/>
          </w:tcPr>
          <w:p>
            <w:pPr>
              <w:ind w:left="4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4"/>
              </w:rPr>
              <w:t>Nonemployee Directors’ Stock Option Plan of Qorvo, Inc. (As Assumed by Qorvo, Inc. and Amended Effective January 1, 2015)</w:t>
            </w:r>
          </w:p>
        </w:tc>
      </w:tr>
      <w:tr>
        <w:trPr>
          <w:trHeight w:val="216"/>
        </w:trPr>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99.4 to the Company’s Registration Statement on Form S-8 filed with the SEC on January 5,</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2015 (File No. 333-201358))*</w:t>
            </w:r>
          </w:p>
        </w:tc>
      </w:tr>
      <w:tr>
        <w:trPr>
          <w:trHeight w:val="256"/>
        </w:trPr>
        <w:tc>
          <w:tcPr>
            <w:tcW w:w="1160" w:type="dxa"/>
            <w:vAlign w:val="bottom"/>
            <w:gridSpan w:val="3"/>
          </w:tcPr>
          <w:p>
            <w:pPr>
              <w:ind w:left="4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4"/>
              </w:rPr>
              <w:t>Qorvo, Inc. 2015 Inducement Stock Plan (incorporated by reference to Exhibit 99.5 to the Company’s Registration Statement on</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Form S-8 filed with the SEC on January 5, 2015 (File No. 333-201358))*</w:t>
            </w:r>
          </w:p>
        </w:tc>
      </w:tr>
      <w:tr>
        <w:trPr>
          <w:trHeight w:val="256"/>
        </w:trPr>
        <w:tc>
          <w:tcPr>
            <w:tcW w:w="1160" w:type="dxa"/>
            <w:vAlign w:val="bottom"/>
            <w:gridSpan w:val="3"/>
          </w:tcPr>
          <w:p>
            <w:pPr>
              <w:ind w:left="4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5"/>
              </w:rPr>
              <w:t>Qorvo, Inc. Form of Indemnification Agreement (incorporated by reference to Exhibit 10.1 to the Company’s Current Report on</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Form 8-K filed with the SEC on January 5, 2015)*</w:t>
            </w:r>
          </w:p>
        </w:tc>
      </w:tr>
      <w:tr>
        <w:trPr>
          <w:trHeight w:val="256"/>
        </w:trPr>
        <w:tc>
          <w:tcPr>
            <w:tcW w:w="1160" w:type="dxa"/>
            <w:vAlign w:val="bottom"/>
            <w:gridSpan w:val="3"/>
          </w:tcPr>
          <w:p>
            <w:pPr>
              <w:ind w:left="4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3"/>
              </w:rPr>
              <w:t>Qorvo, Inc. Form of Change in Control Agreement (incorporated by reference to Exhibit 10.1 to the Company’s Current Report on</w:t>
            </w:r>
          </w:p>
        </w:tc>
      </w:tr>
      <w:tr>
        <w:trPr>
          <w:trHeight w:val="230"/>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Form 8-K filed with the SEC on February 10, 2015)*</w:t>
            </w:r>
          </w:p>
        </w:tc>
      </w:tr>
      <w:tr>
        <w:trPr>
          <w:trHeight w:val="270"/>
        </w:trPr>
        <w:tc>
          <w:tcPr>
            <w:tcW w:w="1160" w:type="dxa"/>
            <w:vAlign w:val="bottom"/>
            <w:gridSpan w:val="3"/>
          </w:tcPr>
          <w:p>
            <w:pPr>
              <w:ind w:left="4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3"/>
                <w:szCs w:val="23"/>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rPr>
              <w:t>Qorvo, Inc. Director Compensation Program*</w:t>
            </w:r>
          </w:p>
        </w:tc>
      </w:tr>
      <w:tr>
        <w:trPr>
          <w:trHeight w:val="270"/>
        </w:trPr>
        <w:tc>
          <w:tcPr>
            <w:tcW w:w="1160" w:type="dxa"/>
            <w:vAlign w:val="bottom"/>
            <w:gridSpan w:val="3"/>
          </w:tcPr>
          <w:p>
            <w:pPr>
              <w:ind w:left="4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3"/>
                <w:szCs w:val="23"/>
                <w:color w:val="auto"/>
              </w:rPr>
            </w:pPr>
          </w:p>
        </w:tc>
        <w:tc>
          <w:tcPr>
            <w:tcW w:w="9700" w:type="dxa"/>
            <w:vAlign w:val="bottom"/>
            <w:gridSpan w:val="3"/>
          </w:tcPr>
          <w:p>
            <w:pPr>
              <w:ind w:left="120"/>
              <w:spacing w:after="0"/>
              <w:rPr>
                <w:sz w:val="20"/>
                <w:szCs w:val="20"/>
                <w:color w:val="auto"/>
              </w:rPr>
            </w:pPr>
            <w:r>
              <w:rPr>
                <w:rFonts w:ascii="Arial" w:cs="Arial" w:eastAsia="Arial" w:hAnsi="Arial"/>
                <w:sz w:val="18"/>
                <w:szCs w:val="18"/>
                <w:color w:val="auto"/>
                <w:w w:val="96"/>
              </w:rPr>
              <w:t>Qorvo, Inc. Nonqualified Deferred Compensation Plan (As Assumed and Amended and Restated Effective January 1, 2015)*</w:t>
            </w:r>
          </w:p>
        </w:tc>
      </w:tr>
      <w:tr>
        <w:trPr>
          <w:trHeight w:val="486"/>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gridSpan w:val="3"/>
          </w:tcPr>
          <w:p>
            <w:pPr>
              <w:ind w:left="434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0980"/>
          </w:cols>
          <w:pgMar w:left="240" w:top="118" w:right="67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spacing w:after="0"/>
              <w:rPr>
                <w:rFonts w:ascii="Arial" w:cs="Arial" w:eastAsia="Arial" w:hAnsi="Arial"/>
                <w:sz w:val="16"/>
                <w:szCs w:val="16"/>
                <w:color w:val="0000EE"/>
                <w:w w:val="99"/>
              </w:rPr>
            </w:pPr>
            <w:hyperlink w:anchor="page2">
              <w:r>
                <w:rPr>
                  <w:rFonts w:ascii="Arial" w:cs="Arial" w:eastAsia="Arial" w:hAnsi="Arial"/>
                  <w:sz w:val="16"/>
                  <w:szCs w:val="16"/>
                  <w:color w:val="0000EE"/>
                  <w:w w:val="99"/>
                </w:rPr>
                <w:t>Table of Contents</w:t>
              </w:r>
            </w:hyperlink>
          </w:p>
        </w:tc>
        <w:tc>
          <w:tcPr>
            <w:tcW w:w="9640" w:type="dxa"/>
            <w:vAlign w:val="bottom"/>
          </w:tcPr>
          <w:p>
            <w:pPr>
              <w:spacing w:after="0"/>
              <w:rPr>
                <w:sz w:val="16"/>
                <w:szCs w:val="16"/>
                <w:color w:val="auto"/>
              </w:rPr>
            </w:pPr>
          </w:p>
        </w:tc>
      </w:tr>
      <w:tr>
        <w:trPr>
          <w:trHeight w:val="628"/>
        </w:trPr>
        <w:tc>
          <w:tcPr>
            <w:tcW w:w="1160" w:type="dxa"/>
            <w:vAlign w:val="bottom"/>
            <w:tcBorders>
              <w:top w:val="single" w:sz="8" w:color="0000EE"/>
            </w:tcBorders>
          </w:tcPr>
          <w:p>
            <w:pPr>
              <w:ind w:left="4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Qorvo, Inc. Cash Bonus Plan (As Assumed and Amended and Restated Effective January 1, 2015)*</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7"/>
              </w:rPr>
              <w:t>Employment Agreement, dated as of November 12, 2008, between RF Micro Devices, Inc. and Robert A. Bruggeworth (As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2"/>
              </w:rPr>
              <w:t>Assumed by Qorvo, Inc.) (incorporated by reference to Exhibit 10.1 to RFMD’s Current Report on Form 8-K filed with the SEC on</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November 14, 2008 (File No. 000-22511))</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6"/>
              </w:rPr>
              <w:t>Credit Agreement, dated as of March 19, 2013, by and between RF Micro Devices, Inc., certain domestic subsidiaries of the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0"/>
              </w:rPr>
              <w:t>Company, Bank of America, N.A., as administrative agent and lender, and a syndicate of other lenders (incorporated by reference to</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Exhibit 10.1 to RFMD’s Current Report on Form 8-K filed with the SEC on March 25, 2013 (File No. 000-22511))</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3"/>
              </w:rPr>
              <w:t>First Amendment, dated as of August 15, 2013, to the Credit Agreement, dated as of March 19, 2013, by and between RF Micro</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4"/>
              </w:rPr>
              <w:t>Devices, Inc., certain domestic subsidiaries of the Company, Bank of America, N.A., as administrative agent and lender, and a</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1"/>
              </w:rPr>
              <w:t>syndicate of other lenders (incorporated by reference to Exhibit 10.1 to RFMD’s Quarterly Report on Form 10-Q filed with the SEC</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on October 25, 2013 (File No. 000-22511))</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4"/>
              </w:rPr>
              <w:t>Second Amendment and Consent, dated as of October 15, 2014, to the Credit Agreement, dated as of March 19, 2013, by and</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0"/>
              </w:rPr>
              <w:t>between RF Micro Devices, Inc., certain domestic subsidiaries of the Company, Bank of America, N.A., as administrative agent and</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1"/>
              </w:rPr>
              <w:t>lender, and a syndicate of other lenders (incorporated by reference to Exhibit 10.1 to RFMD’s Quarterly Report on Form 10-Q filed</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with the SEC on October 31, 2014 (File No. 000-22511))</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4"/>
              </w:rPr>
              <w:t>Third Amendment and Consent, dated as of December 26, 2014, to the Credit Agreement, dated as of March 19, 2013, by and</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1"/>
              </w:rPr>
              <w:t>between RF Micro Devices, Inc., certain domestic subsidiaries of RF Micro Devices, Inc., Bank of America, N.A., as administrative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0"/>
              </w:rPr>
              <w:t>agent and lender, and a syndicate of other lenders (incorporated by reference to Exhibit 10.2 to the Company’s Quarterly Report on</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Form 10-Q filed with the SEC on February 3, 2015)</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5"/>
              </w:rPr>
              <w:t>Credit Agreement, dated as of April 7, 2015 by and between Qorvo, Inc., certain of its material domestic subsidiaries, Bank of</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2"/>
              </w:rPr>
              <w:t>America, N.A. as administrative agent, swing line lender, and L/C issuer, and a syndicate of lenders (incorporated by reference to</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Exhibit 10.1 to the Company’s Current Report on Form 8-K filed with the SEC on April 9, 2015)</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7"/>
              </w:rPr>
              <w:t>Wafer Supply Agreement, dated June 9, 2012, between RF Micro Devices, Inc. and IQE, Inc. (incorporated by reference to</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Exhibit 10.1 to RFMD’s Quarterly Report on Form 10-Q/A filed with the SEC on January 3, 2013 (File No. 000-22511))</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8"/>
              </w:rPr>
              <w:t>Letter dated August 24, 2011 regarding extension of Credit Agreement dated September 30, 2010 by and among TriQuint</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3"/>
              </w:rPr>
              <w:t>Semiconductor, Inc., the domestic subsidiaries of TriQuint Semiconductor, Inc., Bank of America, N.A., as Administrative Agent,</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3"/>
              </w:rPr>
              <w:t>Swing Line Lender and L/C Issuer, and Union Bank, and Wells Fargo Bank, National Association, as Co-Documentation Agents,</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1"/>
              </w:rPr>
              <w:t>Bank of the West, BBVA Compass Bank and US Bank, as lenders (incorporated by reference to Exhibit 10.1 to TriQuint’s Quarterly</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Report on Form 10-Q filed with the SEC on November 3, 2011 (File No. 000-22660))</w:t>
            </w:r>
          </w:p>
        </w:tc>
      </w:tr>
      <w:tr>
        <w:trPr>
          <w:trHeight w:val="270"/>
        </w:trPr>
        <w:tc>
          <w:tcPr>
            <w:tcW w:w="1160" w:type="dxa"/>
            <w:vAlign w:val="bottom"/>
          </w:tcPr>
          <w:p>
            <w:pPr>
              <w:ind w:left="4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Subsidiaries of Qorvo, Inc.</w:t>
            </w:r>
          </w:p>
        </w:tc>
      </w:tr>
      <w:tr>
        <w:trPr>
          <w:trHeight w:val="270"/>
        </w:trPr>
        <w:tc>
          <w:tcPr>
            <w:tcW w:w="1160" w:type="dxa"/>
            <w:vAlign w:val="bottom"/>
          </w:tcPr>
          <w:p>
            <w:pPr>
              <w:ind w:left="4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Consent of KPMG LLP</w:t>
            </w:r>
          </w:p>
        </w:tc>
      </w:tr>
      <w:tr>
        <w:trPr>
          <w:trHeight w:val="270"/>
        </w:trPr>
        <w:tc>
          <w:tcPr>
            <w:tcW w:w="1160" w:type="dxa"/>
            <w:vAlign w:val="bottom"/>
          </w:tcPr>
          <w:p>
            <w:pPr>
              <w:ind w:left="4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Consent of Ernst &amp; Young LLP</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2"/>
              </w:rPr>
              <w:t>Certification of Periodic Report by Robert A. Bruggeworth, as Chief Executive Officer, pursuant to Rule 13a-14(a) or 15d-14(a) of</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the Exchange Act, as adopted pursuant to Section 302 of the Sarbanes-Oxley Act of 2002</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5"/>
              </w:rPr>
              <w:t>Certification of Periodic Report by Steven J. Buhaly, as Chief Financial Officer, pursuant to Rule 13a-14(a) or 15d-14(a) of the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Exchange Act, as adopted pursuant to Section 302 of the Sarbanes-Oxley Act of 2002</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5"/>
              </w:rPr>
              <w:t>Certification of Periodic Report by Robert A. Bruggeworth, as Chief Executive Officer, pursuant to 18 U.S.C. Section 1350, as</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56"/>
        </w:trPr>
        <w:tc>
          <w:tcPr>
            <w:tcW w:w="1160" w:type="dxa"/>
            <w:vAlign w:val="bottom"/>
          </w:tcPr>
          <w:p>
            <w:pPr>
              <w:ind w:left="4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w w:val="93"/>
              </w:rPr>
              <w:t>Certification of Periodic Report by Steven J. Buhaly, as Chief Financial Officer, pursuant to 18 U.S.C. Section 1350, as adopted</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40" w:lineRule="exact"/>
        <w:rPr>
          <w:sz w:val="20"/>
          <w:szCs w:val="20"/>
          <w:color w:val="auto"/>
        </w:rPr>
      </w:pPr>
    </w:p>
    <w:p>
      <w:pPr>
        <w:ind w:left="1400" w:right="120" w:hanging="960"/>
        <w:spacing w:after="0" w:line="273" w:lineRule="auto"/>
        <w:tabs>
          <w:tab w:leader="none" w:pos="1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following materials from our Annual Report on Form 10-K for the fiscal year ended March 28, 2015, formatted in XBRL (eXtensible Business Reporting Language): (i) the Consolidated Balance Sheets as of March 28, 2015 and March 29, 2014, (ii) the Consolidated Statements of Operations for the fiscal years ended March 28, 2015, March 29, 2014, and March 30, 2013, (iii) the Consolidated Statements of Stockholders' Equity for the fiscal years ended March 28, 2015, March 29, 2014 and March 30, 2013, (iv) the Consolidated Statements of Cash Flows for the fiscal years ended March 28, 2015, March 29, 2014, and March 30, 2013, and (v) the Notes to the Consolidated Financial Statements.</w:t>
      </w:r>
    </w:p>
    <w:p>
      <w:pPr>
        <w:spacing w:after="0" w:line="23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20"/>
          </w:cols>
          <w:pgMar w:left="240" w:top="118" w:right="7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 and the SEC file number for TriQuint is 000-22660.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30" w:right="279" w:bottom="1440"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1503680</wp:posOffset>
            </wp:positionH>
            <wp:positionV relativeFrom="page">
              <wp:posOffset>243205</wp:posOffset>
            </wp:positionV>
            <wp:extent cx="4553585" cy="7409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553585"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243205</wp:posOffset>
            </wp:positionV>
            <wp:extent cx="4545330" cy="7409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545330" cy="7409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QORVO, INC.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EMPLOYEE STOCK PURCHASE PLAN</w:t>
      </w:r>
    </w:p>
    <w:p>
      <w:pPr>
        <w:spacing w:after="0" w:line="220" w:lineRule="exact"/>
        <w:rPr>
          <w:sz w:val="20"/>
          <w:szCs w:val="20"/>
          <w:color w:val="auto"/>
        </w:rPr>
      </w:pPr>
    </w:p>
    <w:p>
      <w:pPr>
        <w:ind w:left="1880"/>
        <w:spacing w:after="0"/>
        <w:rPr>
          <w:sz w:val="20"/>
          <w:szCs w:val="20"/>
          <w:color w:val="auto"/>
        </w:rPr>
      </w:pPr>
      <w:r>
        <w:rPr>
          <w:rFonts w:ascii="Arial" w:cs="Arial" w:eastAsia="Arial" w:hAnsi="Arial"/>
          <w:sz w:val="22"/>
          <w:szCs w:val="22"/>
          <w:b w:val="1"/>
          <w:bCs w:val="1"/>
          <w:color w:val="auto"/>
        </w:rPr>
        <w:t>(As Assumed and Amended and Restated by Qorvo, Inc. Effective January 1, 2015)</w:t>
      </w:r>
    </w:p>
    <w:p>
      <w:pPr>
        <w:spacing w:after="0" w:line="220"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(Formerly, the TriQuint Semiconductor, Inc. 2007 Employee Stock Purchase Plan)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constitute the provisions of the Qorvo, Inc. 2007 Employee Stock Purchase Plan (as Assumed and Amended and Restated by Qorvo, Inc. Effective January 1, 2015) (formerly, the TriQuint Semiconductor, Inc. 2007 Employee Stock Purchase Plan).</w:t>
      </w:r>
    </w:p>
    <w:p>
      <w:pPr>
        <w:spacing w:after="0" w:line="186" w:lineRule="exact"/>
        <w:rPr>
          <w:sz w:val="20"/>
          <w:szCs w:val="20"/>
          <w:color w:val="auto"/>
        </w:rPr>
      </w:pPr>
    </w:p>
    <w:p>
      <w:pPr>
        <w:jc w:val="both"/>
        <w:ind w:firstLine="656"/>
        <w:spacing w:after="0" w:line="259" w:lineRule="auto"/>
        <w:tabs>
          <w:tab w:leader="none" w:pos="1459"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provide employees of the Company and its Designated Companies with an opportunity to purchase Common Stock at a discount. It is the intention of the Company to have the Plan qualify as an “employee stock purchase plan” under Section 423 of the Code, although the Company makes no undertaking or representation to maintain such qualification. The provisions of the Plan, accordingly, will be construed so as to extend and limit Plan participation in a uniform and nondiscriminatory basis consistent with the requirements of Section 423 of the Code. In addition, the Plan authorizes the purchase of Common Stock under a Non-423(b) Component, pursuant to rules, procedures or sub-plans adopted by the Administrator and designed to achieve tax, securities law or other objectives, provided, however, that U.S. Eligible Employees will not be permitted to purchase Stock under the Non-423(b) Component.</w:t>
      </w:r>
    </w:p>
    <w:p>
      <w:pPr>
        <w:spacing w:after="0" w:line="184" w:lineRule="exact"/>
        <w:rPr>
          <w:rFonts w:ascii="Arial" w:cs="Arial" w:eastAsia="Arial" w:hAnsi="Arial"/>
          <w:sz w:val="21"/>
          <w:szCs w:val="21"/>
          <w:color w:val="auto"/>
        </w:rPr>
      </w:pPr>
    </w:p>
    <w:p>
      <w:pPr>
        <w:ind w:left="1000" w:hanging="344"/>
        <w:spacing w:after="0"/>
        <w:tabs>
          <w:tab w:leader="none" w:pos="10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other than a Subsidiary, in which the Company has an equity or other ownership</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interest.</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Committee designated by the Board to administer the Plan pursuant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14.</w:t>
      </w:r>
    </w:p>
    <w:p>
      <w:pPr>
        <w:spacing w:after="0" w:line="215" w:lineRule="exact"/>
        <w:rPr>
          <w:rFonts w:ascii="Arial" w:cs="Arial" w:eastAsia="Arial" w:hAnsi="Arial"/>
          <w:sz w:val="19"/>
          <w:szCs w:val="19"/>
          <w:color w:val="auto"/>
        </w:rPr>
      </w:pPr>
    </w:p>
    <w:p>
      <w:pPr>
        <w:jc w:val="both"/>
        <w:ind w:firstLine="1305"/>
        <w:spacing w:after="0" w:line="254" w:lineRule="auto"/>
        <w:tabs>
          <w:tab w:leader="none" w:pos="1784"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85" w:lineRule="exact"/>
        <w:rPr>
          <w:rFonts w:ascii="Arial" w:cs="Arial" w:eastAsia="Arial" w:hAnsi="Arial"/>
          <w:sz w:val="22"/>
          <w:szCs w:val="22"/>
          <w:color w:val="auto"/>
        </w:rPr>
      </w:pPr>
    </w:p>
    <w:p>
      <w:pPr>
        <w:ind w:right="20" w:firstLine="1305"/>
        <w:spacing w:after="0" w:line="276" w:lineRule="auto"/>
        <w:tabs>
          <w:tab w:leader="none" w:pos="17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 Without limiting the effect of the foregoing, on and after the Merger Effective Date, references to the “Board” shall mean the Board of Directors of Qorvo, Inc.</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first to occur of any of the following:</w:t>
      </w:r>
    </w:p>
    <w:p>
      <w:pPr>
        <w:spacing w:after="0" w:line="233" w:lineRule="exact"/>
        <w:rPr>
          <w:rFonts w:ascii="Arial" w:cs="Arial" w:eastAsia="Arial" w:hAnsi="Arial"/>
          <w:sz w:val="22"/>
          <w:szCs w:val="22"/>
          <w:color w:val="auto"/>
        </w:rPr>
      </w:pPr>
    </w:p>
    <w:p>
      <w:pPr>
        <w:ind w:firstLine="1953"/>
        <w:spacing w:after="0" w:line="301" w:lineRule="auto"/>
        <w:tabs>
          <w:tab w:leader="none" w:pos="2396" w:val="left"/>
        </w:tabs>
        <w:numPr>
          <w:ilvl w:val="2"/>
          <w:numId w:val="40"/>
        </w:numPr>
        <w:rPr>
          <w:rFonts w:ascii="Arial" w:cs="Arial" w:eastAsia="Arial" w:hAnsi="Arial"/>
          <w:sz w:val="21"/>
          <w:szCs w:val="21"/>
          <w:color w:val="auto"/>
        </w:rPr>
      </w:pPr>
      <w:r>
        <w:rPr>
          <w:rFonts w:ascii="Arial" w:cs="Arial" w:eastAsia="Arial" w:hAnsi="Arial"/>
          <w:sz w:val="21"/>
          <w:szCs w:val="21"/>
          <w:color w:val="auto"/>
        </w:rPr>
        <w:t>The date any person shall have become the beneficial owner of, or shall have obtained voting control over, more than fifty percent (50%) of the total voting power of the Company’s then outstanding voting stock; or</w:t>
      </w:r>
    </w:p>
    <w:p>
      <w:pPr>
        <w:sectPr>
          <w:pgSz w:w="11900" w:h="16838" w:orient="portrait"/>
          <w:cols w:equalWidth="0" w:num="1">
            <w:col w:w="11420"/>
          </w:cols>
          <w:pgMar w:left="240" w:top="369" w:right="239" w:bottom="1440" w:gutter="0" w:footer="0" w:header="0"/>
        </w:sectPr>
      </w:pPr>
    </w:p>
    <w:bookmarkStart w:id="102" w:name="page103"/>
    <w:bookmarkEnd w:id="102"/>
    <w:p>
      <w:pPr>
        <w:jc w:val="both"/>
        <w:ind w:firstLine="1953"/>
        <w:spacing w:after="0" w:line="270" w:lineRule="auto"/>
        <w:tabs>
          <w:tab w:leader="none" w:pos="247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date of the consummation of (A) a merger, consolidation or reorganization of the Company (or similar transaction involving the Company), in which the holders of the Common Stock immediately prior to the transaction have voting control over less than fifty percent (50%) of the voting securities of the surviving corporation immediately after such transaction, or (B) the sale or disposition of all or substantially all the assets of the Company; or</w:t>
      </w:r>
    </w:p>
    <w:p>
      <w:pPr>
        <w:spacing w:after="0" w:line="169" w:lineRule="exact"/>
        <w:rPr>
          <w:rFonts w:ascii="Arial" w:cs="Arial" w:eastAsia="Arial" w:hAnsi="Arial"/>
          <w:sz w:val="21"/>
          <w:szCs w:val="21"/>
          <w:color w:val="auto"/>
        </w:rPr>
      </w:pPr>
    </w:p>
    <w:p>
      <w:pPr>
        <w:jc w:val="both"/>
        <w:ind w:firstLine="1953"/>
        <w:spacing w:after="0" w:line="254" w:lineRule="auto"/>
        <w:tabs>
          <w:tab w:leader="none" w:pos="24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date there shall have been a change in a majority of the Board within a 12-month period unless the nomination for election by the Company’s stockholders of each new director was approved by the vote of two-thirds of the members of the Board (or a committee of the Board, if nominations are approved by a Board committee rather than the Board) then still in office who were in office at the beginning of the 12-month period.</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herein, the term “person” shall mean any individual, corporation, partnership, group, association or other “person”, as such term is defined in Section 13(d)(3) or Section 14(d)(2) of the Exchange Act, other than the Company, its affiliates or any employee benefit plan(s) sponsored or maintained by the Company or any affiliate thereof, and the term “beneficial owner” shall have the meaning given the term in Rule 13d-3 under the Exchange Act.)</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the purposes of clarity, a transaction shall not constitute a Change in Control if its principal purpose is to change the state of the Company’s incorporation, create a holding company that would be owned in substantially the same proportions by the persons who held the Company’s securities immediately before such transaction or is another transaction of other similar effect.</w:t>
      </w:r>
    </w:p>
    <w:p>
      <w:pPr>
        <w:spacing w:after="0" w:line="134"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Administrator shall have full and final authority, in its discretion, to determine whether a Change in Control of the Company has occurred, the date of the occurrence of such Change in Control and any incidental matters relating thereto.</w:t>
      </w:r>
    </w:p>
    <w:p>
      <w:pPr>
        <w:spacing w:after="0" w:line="105" w:lineRule="exact"/>
        <w:rPr>
          <w:sz w:val="20"/>
          <w:szCs w:val="20"/>
          <w:color w:val="auto"/>
        </w:rPr>
      </w:pPr>
    </w:p>
    <w:p>
      <w:pPr>
        <w:ind w:firstLine="1305"/>
        <w:spacing w:after="0" w:line="276" w:lineRule="auto"/>
        <w:tabs>
          <w:tab w:leader="none" w:pos="17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Any reference to a section of the Code herein will be a reference to any successor or amended section of the Code.</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 Section 423(b) Component</w:t>
      </w:r>
      <w:r>
        <w:rPr>
          <w:rFonts w:ascii="Arial" w:cs="Arial" w:eastAsia="Arial" w:hAnsi="Arial"/>
          <w:sz w:val="22"/>
          <w:szCs w:val="22"/>
          <w:color w:val="auto"/>
        </w:rPr>
        <w:t>” shall mean an employee stock purchase plan which is designed to meet the requirements set forth in Section 423(b) of the Code. The provisions of the Code Section 423(b) Component shall be construed, administered and enforced in accordance with Section 423(b) of the Code.</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877"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the Board appointed in accordance with Section 14 hereof. Without limiting the effect of the foregoing, on and after the Merger Effective Date, references to the “Committee” shall mean the Compensation Committee of the Board of Qorvo, Inc. or other committee of the Board which may be appointed to administer the Plan.</w:t>
      </w:r>
    </w:p>
    <w:p>
      <w:pPr>
        <w:spacing w:after="0" w:line="185" w:lineRule="exact"/>
        <w:rPr>
          <w:rFonts w:ascii="Arial" w:cs="Arial" w:eastAsia="Arial" w:hAnsi="Arial"/>
          <w:sz w:val="22"/>
          <w:szCs w:val="22"/>
          <w:color w:val="auto"/>
        </w:rPr>
      </w:pPr>
    </w:p>
    <w:p>
      <w:pPr>
        <w:jc w:val="both"/>
        <w:ind w:firstLine="1305"/>
        <w:spacing w:after="0" w:line="307" w:lineRule="auto"/>
        <w:tabs>
          <w:tab w:leader="none" w:pos="1707"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(i) prior to the Merger Effective Date, the common stock of TriQuint Semiconductor, Inc., $.001 par value (also referred to herein as the “TriQuint Common Stock”), and (ii) on and after the Merger Effective Date, the Common Stock of Qorvo, Inc., $.0001 par value, or any successor securities thereto (also referred to herein as the “Qorvo Common Stock”). Without limiting the effect of the foregoing, on and after the Merger Effective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22"/>
          <w:szCs w:val="22"/>
          <w:color w:val="auto"/>
        </w:rPr>
        <w:t>Date, references in the Plan to a number of shares of TriQuint Common Stock will be deemed to refer instead to that number of shares of Qorvo Common Stock as adjusted by the TriQuint Exchange Ratio.</w:t>
      </w:r>
    </w:p>
    <w:p>
      <w:pPr>
        <w:spacing w:after="0" w:line="175" w:lineRule="exact"/>
        <w:rPr>
          <w:sz w:val="20"/>
          <w:szCs w:val="20"/>
          <w:color w:val="auto"/>
        </w:rPr>
      </w:pPr>
    </w:p>
    <w:p>
      <w:pPr>
        <w:jc w:val="both"/>
        <w:ind w:firstLine="1305"/>
        <w:spacing w:after="0" w:line="254" w:lineRule="auto"/>
        <w:tabs>
          <w:tab w:leader="none" w:pos="1734"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(unless the context otherwise requires, as determined by the Administrator) (i) prior to the Merger Effective Date, TriQuint Semiconductor, Inc., a Delaware corporation (also referred to herein as “TriQuint”), and (ii) on and after the Merger Effective Date, Qorvo, Inc., a Delaware corporation (also referred to herein as “Qorvo”), the surviving parent corporation in the Merger, or any successor thereto.</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9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means an Employee’s base salary or regular rate of compensation (excluding commissions, bonuses, overtime, employee benefits and similar elements of compensation). The Administrator has the exclusive discretion to determine what constitutes Compensation for purposes of the Plan.</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21"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Company</w:t>
      </w:r>
      <w:r>
        <w:rPr>
          <w:rFonts w:ascii="Arial" w:cs="Arial" w:eastAsia="Arial" w:hAnsi="Arial"/>
          <w:sz w:val="19"/>
          <w:szCs w:val="19"/>
          <w:color w:val="auto"/>
        </w:rPr>
        <w:t>” means any Affiliate or Subsidiary that has been designated by the Administrator from time to time in its sole discretion as eligible to participate in the Plan, including, without limitation, on and after the Merger Effective Date, RFMD and TriQuint. For purposes of the Code Section 423(b) Component, only the Company and its Subsidiaries may be Designated Companies, provided, however, that at any given time, a Subsidiary that is a Designated Company under the Code Section 423(b) Component shall not be a Designated Company under the Non-423(b) Component.</w:t>
      </w:r>
    </w:p>
    <w:p>
      <w:pPr>
        <w:spacing w:after="0" w:line="147" w:lineRule="exact"/>
        <w:rPr>
          <w:rFonts w:ascii="Arial" w:cs="Arial" w:eastAsia="Arial" w:hAnsi="Arial"/>
          <w:sz w:val="19"/>
          <w:szCs w:val="19"/>
          <w:color w:val="auto"/>
        </w:rPr>
      </w:pPr>
    </w:p>
    <w:p>
      <w:pPr>
        <w:ind w:left="1800" w:hanging="495"/>
        <w:spacing w:after="0"/>
        <w:tabs>
          <w:tab w:leader="none" w:pos="18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jc w:val="both"/>
        <w:ind w:firstLine="1305"/>
        <w:spacing w:after="0" w:line="286" w:lineRule="auto"/>
        <w:tabs>
          <w:tab w:leader="none" w:pos="1742"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individual who is a common law employee of an Employer and is customarily employed for at least twenty (20) hours per week and more than five (5) months in any calendar year by the Employer, provided, however, that employees of a Designated Company may be Eligible Employees even if their customary employment is less than five (5) months per calendar year and/or twenty (20) hours per week, to the extent required by Applicable Laws and to the extent participation of such employees complies with the requirements of Section 423(b) of the Code. For purposes of the Plan, the employment relationship will be treated as continuing intact while the individual is on sick leave or other leave of absence that the Employer approves or that is protected accordingly under Applicable Laws. Where the period of leave exceeds ninety (90) days and the individual’s right to reemployment is not guaranteed either by statute or by contract, the employment relationship will be deemed to have terminated on the ninety-first (91st) day of such leave. To the extent permitted by Applicable Laws, the Administrator, in its discretion, from time to time may, prior to an Offering Date for all options to be granted on such Offering Date, determine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or (iv) is a highly compensated employee under Section 414(q) of the Code with compensation above a certain level or who is an officer subject to the disclosure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04" w:name="page105"/>
    <w:bookmarkEnd w:id="104"/>
    <w:p>
      <w:pPr>
        <w:spacing w:after="0" w:line="263" w:lineRule="auto"/>
        <w:rPr>
          <w:sz w:val="20"/>
          <w:szCs w:val="20"/>
          <w:color w:val="auto"/>
        </w:rPr>
      </w:pPr>
      <w:r>
        <w:rPr>
          <w:rFonts w:ascii="Arial" w:cs="Arial" w:eastAsia="Arial" w:hAnsi="Arial"/>
          <w:sz w:val="22"/>
          <w:szCs w:val="22"/>
          <w:color w:val="auto"/>
        </w:rPr>
        <w:t>requirements of Section 16(a) of the Exchange Act, provided, however, that for Eligible Employees participating in the Code Section 423(b) Component, such determination must be made on a uniform and nondiscriminatory basis.</w:t>
      </w:r>
    </w:p>
    <w:p>
      <w:pPr>
        <w:spacing w:after="0" w:line="175" w:lineRule="exact"/>
        <w:rPr>
          <w:sz w:val="20"/>
          <w:szCs w:val="20"/>
          <w:color w:val="auto"/>
        </w:rPr>
      </w:pPr>
    </w:p>
    <w:p>
      <w:pPr>
        <w:ind w:left="1740" w:hanging="435"/>
        <w:spacing w:after="0"/>
        <w:tabs>
          <w:tab w:leader="none" w:pos="17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w:t>
      </w:r>
      <w:r>
        <w:rPr>
          <w:rFonts w:ascii="Arial" w:cs="Arial" w:eastAsia="Arial" w:hAnsi="Arial"/>
          <w:sz w:val="22"/>
          <w:szCs w:val="22"/>
          <w:color w:val="auto"/>
        </w:rPr>
        <w:t>” means any one or all of the Company and its Designated Companies.</w:t>
      </w:r>
    </w:p>
    <w:p>
      <w:pPr>
        <w:spacing w:after="0" w:line="233" w:lineRule="exact"/>
        <w:rPr>
          <w:rFonts w:ascii="Arial" w:cs="Arial" w:eastAsia="Arial" w:hAnsi="Arial"/>
          <w:sz w:val="22"/>
          <w:szCs w:val="22"/>
          <w:color w:val="auto"/>
        </w:rPr>
      </w:pPr>
    </w:p>
    <w:p>
      <w:pPr>
        <w:ind w:right="20" w:firstLine="1305"/>
        <w:spacing w:after="0" w:line="276" w:lineRule="auto"/>
        <w:tabs>
          <w:tab w:leader="none" w:pos="1891"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Date</w:t>
      </w:r>
      <w:r>
        <w:rPr>
          <w:rFonts w:ascii="Arial" w:cs="Arial" w:eastAsia="Arial" w:hAnsi="Arial"/>
          <w:sz w:val="22"/>
          <w:szCs w:val="22"/>
          <w:color w:val="auto"/>
        </w:rPr>
        <w:t>” means the last day preceding May 1 and November 1 of each year. The Administrator, in its discretion, from time to time may, prior to an Offering Date for all options to be granted on such Offering Date, determine when the Exercise Dates will occur during an Offering Period.</w:t>
      </w:r>
    </w:p>
    <w:p>
      <w:pPr>
        <w:spacing w:after="0" w:line="177" w:lineRule="exact"/>
        <w:rPr>
          <w:rFonts w:ascii="Arial" w:cs="Arial" w:eastAsia="Arial" w:hAnsi="Arial"/>
          <w:sz w:val="22"/>
          <w:szCs w:val="22"/>
          <w:color w:val="auto"/>
        </w:rPr>
      </w:pPr>
    </w:p>
    <w:p>
      <w:pPr>
        <w:ind w:firstLine="1305"/>
        <w:spacing w:after="0" w:line="276" w:lineRule="auto"/>
        <w:tabs>
          <w:tab w:leader="none" w:pos="1787"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and unless the Administrator determines otherwise, the value of Common Stock determined as follows:</w:t>
      </w:r>
    </w:p>
    <w:p>
      <w:pPr>
        <w:spacing w:after="0" w:line="160" w:lineRule="exact"/>
        <w:rPr>
          <w:rFonts w:ascii="Arial" w:cs="Arial" w:eastAsia="Arial" w:hAnsi="Arial"/>
          <w:sz w:val="22"/>
          <w:szCs w:val="22"/>
          <w:color w:val="auto"/>
        </w:rPr>
      </w:pPr>
    </w:p>
    <w:p>
      <w:pPr>
        <w:jc w:val="both"/>
        <w:ind w:firstLine="1953"/>
        <w:spacing w:after="0" w:line="248" w:lineRule="auto"/>
        <w:tabs>
          <w:tab w:leader="none" w:pos="2342"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including without limitation the Nasdaq Stock Market, LLC, its Fair Market Value will be the closing sales price for such stock on the date immediately preceding the valuation date (or, if there is no closing sales price on such date, then on the trading date nearest preceding the valuation date for which closing price information is available) as quoted on such exchange or system on the valuation date,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 provided, however, that the Fair Market Value of the Common Stock on (X) any Offering Date will be the closing sales price for such stock on the date immediately preceding such Offering Date and (Y) any Exercise Date will be the closing sales price for such stock on such Exercise Date;</w:t>
      </w:r>
    </w:p>
    <w:p>
      <w:pPr>
        <w:spacing w:after="0" w:line="191" w:lineRule="exact"/>
        <w:rPr>
          <w:rFonts w:ascii="Arial" w:cs="Arial" w:eastAsia="Arial" w:hAnsi="Arial"/>
          <w:sz w:val="22"/>
          <w:szCs w:val="22"/>
          <w:color w:val="auto"/>
        </w:rPr>
      </w:pPr>
    </w:p>
    <w:p>
      <w:pPr>
        <w:jc w:val="both"/>
        <w:ind w:firstLine="1953"/>
        <w:spacing w:after="0" w:line="264" w:lineRule="auto"/>
        <w:tabs>
          <w:tab w:leader="none" w:pos="2470"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If the Common Stock is regularly quoted by a recognized securities dealer but selling prices are not reported, its Fair Market Value will be the mean of the closing bid and asked prices for the Common Stock on the date immediately preceding the valuation date,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Administrator deems reliable; provided, however, that the Fair Market Value of the Common Stock on (X) any Offering Date will be the mean of the closing bid and asked prices for such stock on the date immediately preceding such Offering Date and (Y) any Exercise Date will be the mean of the closing bid and asked prices for such stock on such Exercise Date; or</w:t>
      </w:r>
    </w:p>
    <w:p>
      <w:pPr>
        <w:spacing w:after="0" w:line="175" w:lineRule="exact"/>
        <w:rPr>
          <w:rFonts w:ascii="Arial" w:cs="Arial" w:eastAsia="Arial" w:hAnsi="Arial"/>
          <w:sz w:val="21"/>
          <w:szCs w:val="21"/>
          <w:color w:val="auto"/>
        </w:rPr>
      </w:pPr>
    </w:p>
    <w:p>
      <w:pPr>
        <w:ind w:right="20" w:firstLine="1953"/>
        <w:spacing w:after="0" w:line="276" w:lineRule="auto"/>
        <w:tabs>
          <w:tab w:leader="none" w:pos="2489" w:val="left"/>
        </w:tabs>
        <w:numPr>
          <w:ilvl w:val="1"/>
          <w:numId w:val="44"/>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thereof will be determined in good faith by the Administrator.</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fiscal year of the Company.</w:t>
      </w:r>
    </w:p>
    <w:p>
      <w:pPr>
        <w:spacing w:after="0" w:line="233" w:lineRule="exact"/>
        <w:rPr>
          <w:rFonts w:ascii="Arial" w:cs="Arial" w:eastAsia="Arial" w:hAnsi="Arial"/>
          <w:sz w:val="22"/>
          <w:szCs w:val="22"/>
          <w:color w:val="auto"/>
        </w:rPr>
      </w:pPr>
    </w:p>
    <w:p>
      <w:pPr>
        <w:ind w:firstLine="1305"/>
        <w:spacing w:after="0" w:line="276" w:lineRule="auto"/>
        <w:tabs>
          <w:tab w:leader="none" w:pos="1694" w:val="left"/>
        </w:tabs>
        <w:numPr>
          <w:ilvl w:val="0"/>
          <w:numId w:val="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means the consummation of the “Mergers” (that is, the “RFMD Merger” and the “TriQuint Merger”), in each case as defined in the Merger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105" w:name="page106"/>
    <w:bookmarkEnd w:id="105"/>
    <w:p>
      <w:pPr>
        <w:ind w:firstLine="1305"/>
        <w:spacing w:after="0" w:line="358" w:lineRule="auto"/>
        <w:tabs>
          <w:tab w:leader="none" w:pos="1783"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Agreement</w:t>
      </w:r>
      <w:r>
        <w:rPr>
          <w:rFonts w:ascii="Arial" w:cs="Arial" w:eastAsia="Arial" w:hAnsi="Arial"/>
          <w:sz w:val="19"/>
          <w:szCs w:val="19"/>
          <w:color w:val="auto"/>
        </w:rPr>
        <w:t>” means that certain Agreement and Plan of Merger and Reorganization among TriQuint, Rocky Holding, Inc. and RFMD dated as of February 22, 2014, as amended July 15, 2014, and as it may be further amended.</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1"/>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Effective Date</w:t>
      </w:r>
      <w:r>
        <w:rPr>
          <w:rFonts w:ascii="Arial" w:cs="Arial" w:eastAsia="Arial" w:hAnsi="Arial"/>
          <w:sz w:val="21"/>
          <w:szCs w:val="21"/>
          <w:color w:val="auto"/>
        </w:rPr>
        <w:t>” means the “Effective Time,” as defined in Section 1.3 of the Merger Agreement.</w:t>
      </w:r>
    </w:p>
    <w:p>
      <w:pPr>
        <w:spacing w:after="0" w:line="244" w:lineRule="exact"/>
        <w:rPr>
          <w:rFonts w:ascii="Arial" w:cs="Arial" w:eastAsia="Arial" w:hAnsi="Arial"/>
          <w:sz w:val="21"/>
          <w:szCs w:val="21"/>
          <w:color w:val="auto"/>
        </w:rPr>
      </w:pPr>
    </w:p>
    <w:p>
      <w:pPr>
        <w:ind w:firstLine="1305"/>
        <w:spacing w:after="0" w:line="276" w:lineRule="auto"/>
        <w:tabs>
          <w:tab w:leader="none" w:pos="1884" w:val="left"/>
        </w:tabs>
        <w:numPr>
          <w:ilvl w:val="1"/>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Non-423(b) Component</w:t>
      </w:r>
      <w:r>
        <w:rPr>
          <w:rFonts w:ascii="Arial" w:cs="Arial" w:eastAsia="Arial" w:hAnsi="Arial"/>
          <w:sz w:val="22"/>
          <w:szCs w:val="22"/>
          <w:color w:val="auto"/>
        </w:rPr>
        <w:t>” means the grant of an option under the Plan which is not intended to meet the requirements set forth in Section 423(b) of the Code.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Date</w:t>
      </w:r>
      <w:r>
        <w:rPr>
          <w:rFonts w:ascii="Arial" w:cs="Arial" w:eastAsia="Arial" w:hAnsi="Arial"/>
          <w:sz w:val="22"/>
          <w:szCs w:val="22"/>
          <w:color w:val="auto"/>
        </w:rPr>
        <w:t>” means the first day of each Offering Period.</w:t>
      </w:r>
    </w:p>
    <w:p>
      <w:pPr>
        <w:spacing w:after="0" w:line="233" w:lineRule="exact"/>
        <w:rPr>
          <w:rFonts w:ascii="Arial" w:cs="Arial" w:eastAsia="Arial" w:hAnsi="Arial"/>
          <w:sz w:val="22"/>
          <w:szCs w:val="22"/>
          <w:color w:val="auto"/>
        </w:rPr>
      </w:pPr>
    </w:p>
    <w:p>
      <w:pPr>
        <w:jc w:val="both"/>
        <w:ind w:firstLine="1305"/>
        <w:spacing w:after="0" w:line="293" w:lineRule="auto"/>
        <w:tabs>
          <w:tab w:leader="none" w:pos="1796" w:val="left"/>
        </w:tabs>
        <w:numPr>
          <w:ilvl w:val="1"/>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Periods</w:t>
      </w:r>
      <w:r>
        <w:rPr>
          <w:rFonts w:ascii="Arial" w:cs="Arial" w:eastAsia="Arial" w:hAnsi="Arial"/>
          <w:sz w:val="19"/>
          <w:szCs w:val="19"/>
          <w:color w:val="auto"/>
        </w:rPr>
        <w:t>” means the period of time the Administrator may determine prior to an Offering Date, for options to be granted on such Offering Date, during which an option granted under the Plan may be exercised, not to exceed twenty-seven (27) months. Unless the Administrator provides otherwise, Offering Periods will have a duration of approximately six</w:t>
      </w:r>
    </w:p>
    <w:p>
      <w:pPr>
        <w:spacing w:after="0" w:line="1" w:lineRule="exact"/>
        <w:rPr>
          <w:rFonts w:ascii="Arial" w:cs="Arial" w:eastAsia="Arial" w:hAnsi="Arial"/>
          <w:sz w:val="19"/>
          <w:szCs w:val="19"/>
          <w:color w:val="auto"/>
        </w:rPr>
      </w:pPr>
    </w:p>
    <w:p>
      <w:pPr>
        <w:jc w:val="both"/>
        <w:ind w:right="20" w:firstLine="8"/>
        <w:spacing w:after="0" w:line="281" w:lineRule="auto"/>
        <w:tabs>
          <w:tab w:leader="none" w:pos="321" w:val="left"/>
        </w:tabs>
        <w:numPr>
          <w:ilvl w:val="0"/>
          <w:numId w:val="46"/>
        </w:numPr>
        <w:rPr>
          <w:rFonts w:ascii="Arial" w:cs="Arial" w:eastAsia="Arial" w:hAnsi="Arial"/>
          <w:sz w:val="19"/>
          <w:szCs w:val="19"/>
          <w:color w:val="auto"/>
        </w:rPr>
      </w:pPr>
      <w:r>
        <w:rPr>
          <w:rFonts w:ascii="Arial" w:cs="Arial" w:eastAsia="Arial" w:hAnsi="Arial"/>
          <w:sz w:val="19"/>
          <w:szCs w:val="19"/>
          <w:color w:val="auto"/>
        </w:rPr>
        <w:t>months (i) commencing on May 1 of each year and terminating on the last day preceding November 1, approximately six (6) months later, and (ii) commencing on November 1 of each year and terminating on the last day preceding May 1, approximately six</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months later. The duration and timing of Offering Periods may be changed pursuant to Sections 4 and 20.</w:t>
      </w:r>
    </w:p>
    <w:p>
      <w:pPr>
        <w:spacing w:after="0" w:line="201" w:lineRule="exact"/>
        <w:rPr>
          <w:rFonts w:ascii="Arial" w:cs="Arial" w:eastAsia="Arial" w:hAnsi="Arial"/>
          <w:sz w:val="22"/>
          <w:szCs w:val="22"/>
          <w:color w:val="auto"/>
        </w:rPr>
      </w:pPr>
    </w:p>
    <w:p>
      <w:pPr>
        <w:ind w:left="1760" w:hanging="455"/>
        <w:spacing w:after="0"/>
        <w:tabs>
          <w:tab w:leader="none" w:pos="1760" w:val="left"/>
        </w:tabs>
        <w:numPr>
          <w:ilvl w:val="1"/>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15" w:lineRule="exact"/>
        <w:rPr>
          <w:sz w:val="20"/>
          <w:szCs w:val="20"/>
          <w:color w:val="auto"/>
        </w:rPr>
      </w:pPr>
    </w:p>
    <w:p>
      <w:pPr>
        <w:jc w:val="both"/>
        <w:ind w:firstLine="1305"/>
        <w:spacing w:after="0" w:line="260" w:lineRule="auto"/>
        <w:tabs>
          <w:tab w:leader="none" w:pos="18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TriQuint Semiconductor, Inc. 2007 Employee Stock Purchase Plan, as amended and restated effective January 1, 2015 and assumed by Qorvo, Inc., which includes a Code Section 423(b) Component and a Non-423(b) Component.</w:t>
      </w:r>
    </w:p>
    <w:p>
      <w:pPr>
        <w:spacing w:after="0" w:line="177" w:lineRule="exact"/>
        <w:rPr>
          <w:rFonts w:ascii="Arial" w:cs="Arial" w:eastAsia="Arial" w:hAnsi="Arial"/>
          <w:sz w:val="22"/>
          <w:szCs w:val="22"/>
          <w:color w:val="auto"/>
        </w:rPr>
      </w:pPr>
    </w:p>
    <w:p>
      <w:pPr>
        <w:jc w:val="both"/>
        <w:ind w:firstLine="1305"/>
        <w:spacing w:after="0" w:line="278" w:lineRule="auto"/>
        <w:tabs>
          <w:tab w:leader="none" w:pos="1985" w:val="left"/>
        </w:tabs>
        <w:numPr>
          <w:ilvl w:val="0"/>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Period</w:t>
      </w:r>
      <w:r>
        <w:rPr>
          <w:rFonts w:ascii="Arial" w:cs="Arial" w:eastAsia="Arial" w:hAnsi="Arial"/>
          <w:sz w:val="21"/>
          <w:szCs w:val="21"/>
          <w:color w:val="auto"/>
        </w:rPr>
        <w:t>” means the period during an Offering Period when shares of Common Stock may be purchased on a participant’s behalf in accordance with the terms of the Plan. Unless and until the Administrator provides otherwise, the Purchase Period will have the same duration and coincide with the length of the Offering Period.</w:t>
      </w:r>
    </w:p>
    <w:p>
      <w:pPr>
        <w:spacing w:after="0" w:line="160" w:lineRule="exact"/>
        <w:rPr>
          <w:rFonts w:ascii="Arial" w:cs="Arial" w:eastAsia="Arial" w:hAnsi="Arial"/>
          <w:sz w:val="21"/>
          <w:szCs w:val="21"/>
          <w:color w:val="auto"/>
        </w:rPr>
      </w:pPr>
    </w:p>
    <w:p>
      <w:pPr>
        <w:jc w:val="both"/>
        <w:ind w:firstLine="1305"/>
        <w:spacing w:after="0" w:line="266" w:lineRule="auto"/>
        <w:tabs>
          <w:tab w:leader="none" w:pos="1812" w:val="left"/>
        </w:tabs>
        <w:numPr>
          <w:ilvl w:val="0"/>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determined by the Administrator (on a uniform and nondiscriminatory basis) prior to an Offering Date for all options to be granted on such Offering Date, subject to compliance with Section 423 of the Code (or any successor rule or provision or any other applicable law, regulation or stock exchange rule) or pursuant to Section 20. Unless and until the Administrator provides otherwise, the Purchase Price will be equal to eighty-five percent (85%) of the Fair Market Value of a share of Common Stock on the Offering Date or the Exercise Date, whichever is lower.</w:t>
      </w:r>
    </w:p>
    <w:p>
      <w:pPr>
        <w:spacing w:after="0" w:line="174" w:lineRule="exact"/>
        <w:rPr>
          <w:rFonts w:ascii="Arial" w:cs="Arial" w:eastAsia="Arial" w:hAnsi="Arial"/>
          <w:sz w:val="21"/>
          <w:szCs w:val="21"/>
          <w:color w:val="auto"/>
        </w:rPr>
      </w:pPr>
    </w:p>
    <w:p>
      <w:pPr>
        <w:ind w:left="1840" w:hanging="535"/>
        <w:spacing w:after="0"/>
        <w:tabs>
          <w:tab w:leader="none" w:pos="1840" w:val="left"/>
        </w:tabs>
        <w:numPr>
          <w:ilvl w:val="0"/>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Qorvo</w:t>
      </w:r>
      <w:r>
        <w:rPr>
          <w:rFonts w:ascii="Arial" w:cs="Arial" w:eastAsia="Arial" w:hAnsi="Arial"/>
          <w:sz w:val="21"/>
          <w:szCs w:val="21"/>
          <w:color w:val="auto"/>
        </w:rPr>
        <w:t>” means Qorvo, Inc., a Delaware corporation, and the successor parent corporation of TriQuint.</w:t>
      </w:r>
    </w:p>
    <w:p>
      <w:pPr>
        <w:spacing w:after="0" w:line="244" w:lineRule="exact"/>
        <w:rPr>
          <w:rFonts w:ascii="Arial" w:cs="Arial" w:eastAsia="Arial" w:hAnsi="Arial"/>
          <w:sz w:val="21"/>
          <w:szCs w:val="21"/>
          <w:color w:val="auto"/>
        </w:rPr>
      </w:pPr>
    </w:p>
    <w:p>
      <w:pPr>
        <w:ind w:left="1820" w:hanging="515"/>
        <w:spacing w:after="0"/>
        <w:tabs>
          <w:tab w:leader="none" w:pos="18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RFMD</w:t>
      </w:r>
      <w:r>
        <w:rPr>
          <w:rFonts w:ascii="Arial" w:cs="Arial" w:eastAsia="Arial" w:hAnsi="Arial"/>
          <w:sz w:val="22"/>
          <w:szCs w:val="22"/>
          <w:color w:val="auto"/>
        </w:rPr>
        <w:t>” means RF Micro Devices, Inc., a North Carolina corporation and party to the Merger.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06" w:name="page107"/>
    <w:bookmarkEnd w:id="106"/>
    <w:p>
      <w:pPr>
        <w:ind w:left="1760" w:hanging="455"/>
        <w:spacing w:after="0"/>
        <w:tabs>
          <w:tab w:leader="none" w:pos="1760" w:val="left"/>
        </w:tabs>
        <w:numPr>
          <w:ilvl w:val="1"/>
          <w:numId w:val="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RFMD Exchange Ratio</w:t>
      </w:r>
      <w:r>
        <w:rPr>
          <w:rFonts w:ascii="Arial" w:cs="Arial" w:eastAsia="Arial" w:hAnsi="Arial"/>
          <w:sz w:val="21"/>
          <w:szCs w:val="21"/>
          <w:color w:val="auto"/>
        </w:rPr>
        <w:t>” has the meaning given such term in Section 2.1(b) of the Merger Agreement.</w:t>
      </w:r>
    </w:p>
    <w:p>
      <w:pPr>
        <w:spacing w:after="0" w:line="244" w:lineRule="exact"/>
        <w:rPr>
          <w:rFonts w:ascii="Arial" w:cs="Arial" w:eastAsia="Arial" w:hAnsi="Arial"/>
          <w:sz w:val="21"/>
          <w:szCs w:val="21"/>
          <w:color w:val="auto"/>
        </w:rPr>
      </w:pPr>
    </w:p>
    <w:p>
      <w:pPr>
        <w:ind w:left="1980" w:hanging="675"/>
        <w:spacing w:after="0"/>
        <w:tabs>
          <w:tab w:leader="none" w:pos="1980" w:val="left"/>
        </w:tabs>
        <w:numPr>
          <w:ilvl w:val="1"/>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424(f) of the Code.</w:t>
      </w:r>
    </w:p>
    <w:p>
      <w:pPr>
        <w:spacing w:after="0" w:line="215" w:lineRule="exact"/>
        <w:rPr>
          <w:rFonts w:ascii="Arial" w:cs="Arial" w:eastAsia="Arial" w:hAnsi="Arial"/>
          <w:sz w:val="19"/>
          <w:szCs w:val="19"/>
          <w:color w:val="auto"/>
        </w:rPr>
      </w:pPr>
    </w:p>
    <w:p>
      <w:pPr>
        <w:ind w:left="1840" w:hanging="535"/>
        <w:spacing w:after="0"/>
        <w:tabs>
          <w:tab w:leader="none" w:pos="1840" w:val="left"/>
        </w:tabs>
        <w:numPr>
          <w:ilvl w:val="1"/>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TriQuint</w:t>
      </w:r>
      <w:r>
        <w:rPr>
          <w:rFonts w:ascii="Arial" w:cs="Arial" w:eastAsia="Arial" w:hAnsi="Arial"/>
          <w:sz w:val="22"/>
          <w:szCs w:val="22"/>
          <w:color w:val="auto"/>
        </w:rPr>
        <w:t>” means TriQuint Semiconductor, Inc., a Delaware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TriQuint Exchange Ratio</w:t>
      </w:r>
      <w:r>
        <w:rPr>
          <w:rFonts w:ascii="Arial" w:cs="Arial" w:eastAsia="Arial" w:hAnsi="Arial"/>
          <w:sz w:val="21"/>
          <w:szCs w:val="21"/>
          <w:color w:val="auto"/>
        </w:rPr>
        <w:t>” has the meaning given such term in Section 2.2(b) of the Merger Agreement.</w:t>
      </w:r>
    </w:p>
    <w:p>
      <w:pPr>
        <w:spacing w:after="0" w:line="244" w:lineRule="exact"/>
        <w:rPr>
          <w:rFonts w:ascii="Arial" w:cs="Arial" w:eastAsia="Arial" w:hAnsi="Arial"/>
          <w:sz w:val="21"/>
          <w:szCs w:val="21"/>
          <w:color w:val="auto"/>
        </w:rPr>
      </w:pPr>
    </w:p>
    <w:p>
      <w:pPr>
        <w:ind w:firstLine="1305"/>
        <w:spacing w:after="0" w:line="276" w:lineRule="auto"/>
        <w:tabs>
          <w:tab w:leader="none" w:pos="1903" w:val="left"/>
        </w:tabs>
        <w:numPr>
          <w:ilvl w:val="1"/>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Eligible Employee</w:t>
      </w:r>
      <w:r>
        <w:rPr>
          <w:rFonts w:ascii="Arial" w:cs="Arial" w:eastAsia="Arial" w:hAnsi="Arial"/>
          <w:sz w:val="22"/>
          <w:szCs w:val="22"/>
          <w:color w:val="auto"/>
        </w:rPr>
        <w:t>” means an Eligible Employee who (i) resides in the United States, and (ii) is employed by the Company or by a Designated Company located in the United States.</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838"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First Offering Period</w:t>
      </w:r>
      <w:r>
        <w:rPr>
          <w:rFonts w:ascii="Arial" w:cs="Arial" w:eastAsia="Arial" w:hAnsi="Arial"/>
          <w:sz w:val="22"/>
          <w:szCs w:val="22"/>
          <w:color w:val="auto"/>
        </w:rPr>
        <w:t>. Any individual who is an Eligible Employee immediately prior to the first Offering Period under the Plan will be automatically enrolled in the first Offering Period.</w:t>
      </w:r>
    </w:p>
    <w:p>
      <w:pPr>
        <w:spacing w:after="0" w:line="160" w:lineRule="exact"/>
        <w:rPr>
          <w:rFonts w:ascii="Arial" w:cs="Arial" w:eastAsia="Arial" w:hAnsi="Arial"/>
          <w:sz w:val="22"/>
          <w:szCs w:val="22"/>
          <w:color w:val="auto"/>
        </w:rPr>
      </w:pPr>
    </w:p>
    <w:p>
      <w:pPr>
        <w:ind w:firstLine="1305"/>
        <w:spacing w:after="0" w:line="276" w:lineRule="auto"/>
        <w:tabs>
          <w:tab w:leader="none" w:pos="181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Any individual who is an Eligible Employee on a given Offering Date of any future Offering Period will be eligible to participate in the Plan, subject to the requirements of Section 5.</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43"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19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Offering Periods</w:t>
      </w:r>
      <w:r>
        <w:rPr>
          <w:rFonts w:ascii="Arial" w:cs="Arial" w:eastAsia="Arial" w:hAnsi="Arial"/>
          <w:sz w:val="22"/>
          <w:szCs w:val="22"/>
          <w:color w:val="auto"/>
        </w:rPr>
        <w:t>. The Plan will be implemented by consecutive Offering Periods with a new Offering Period commencing on May 1 and November 1 each year, or on such other date as the Administrator will determine.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07" w:name="page108"/>
    <w:bookmarkEnd w:id="107"/>
    <w:p>
      <w:pPr>
        <w:ind w:left="1000" w:hanging="344"/>
        <w:spacing w:after="0"/>
        <w:tabs>
          <w:tab w:leader="none" w:pos="1000"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Participation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87" w:lineRule="auto"/>
        <w:tabs>
          <w:tab w:leader="none" w:pos="1716"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First Offering Period</w:t>
      </w:r>
      <w:r>
        <w:rPr>
          <w:rFonts w:ascii="Arial" w:cs="Arial" w:eastAsia="Arial" w:hAnsi="Arial"/>
          <w:sz w:val="19"/>
          <w:szCs w:val="19"/>
          <w:color w:val="auto"/>
        </w:rPr>
        <w:t>. An Eligible Employee who has become a participant in the first Offering Period under the Plan pursuant to Section 3(a) will be entitled to continue his or her participation in such Offering Period only if he or she submits to the Company’s payroll office (or its designee) a properly completed subscription agreement authorizing contributions to the Plan in the form provided by the Administrator for such purpose or following an electronic or other enrollment procedure prescribed by the Administrator (i) no earlier than the effective date of the filing of the Company’s Registration Statement on Form S-8 with respect to the shares of Common Stock issuable under the Plan, which was June 1, 2007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(ii) no later than ten</w:t>
      </w:r>
    </w:p>
    <w:p>
      <w:pPr>
        <w:spacing w:after="0" w:line="3" w:lineRule="exact"/>
        <w:rPr>
          <w:rFonts w:ascii="Arial" w:cs="Arial" w:eastAsia="Arial" w:hAnsi="Arial"/>
          <w:sz w:val="19"/>
          <w:szCs w:val="19"/>
          <w:color w:val="auto"/>
        </w:rPr>
      </w:pPr>
    </w:p>
    <w:p>
      <w:pPr>
        <w:jc w:val="both"/>
        <w:ind w:firstLine="8"/>
        <w:spacing w:after="0" w:line="302" w:lineRule="auto"/>
        <w:tabs>
          <w:tab w:leader="none" w:pos="445" w:val="left"/>
        </w:tabs>
        <w:numPr>
          <w:ilvl w:val="0"/>
          <w:numId w:val="52"/>
        </w:numPr>
        <w:rPr>
          <w:rFonts w:ascii="Arial" w:cs="Arial" w:eastAsia="Arial" w:hAnsi="Arial"/>
          <w:sz w:val="19"/>
          <w:szCs w:val="19"/>
          <w:color w:val="auto"/>
        </w:rPr>
      </w:pPr>
      <w:r>
        <w:rPr>
          <w:rFonts w:ascii="Arial" w:cs="Arial" w:eastAsia="Arial" w:hAnsi="Arial"/>
          <w:sz w:val="19"/>
          <w:szCs w:val="19"/>
          <w:color w:val="auto"/>
        </w:rPr>
        <w:t>business days from the Effective Date or such other period of time as the Administrator may determine (the “</w:t>
      </w:r>
      <w:r>
        <w:rPr>
          <w:rFonts w:ascii="Arial" w:cs="Arial" w:eastAsia="Arial" w:hAnsi="Arial"/>
          <w:sz w:val="19"/>
          <w:szCs w:val="19"/>
          <w:u w:val="single" w:color="auto"/>
          <w:color w:val="auto"/>
        </w:rPr>
        <w:t>Enrollment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Window</w:t>
      </w:r>
      <w:r>
        <w:rPr>
          <w:rFonts w:ascii="Arial" w:cs="Arial" w:eastAsia="Arial" w:hAnsi="Arial"/>
          <w:sz w:val="19"/>
          <w:szCs w:val="19"/>
          <w:color w:val="auto"/>
        </w:rPr>
        <w:t>”). A participant’s failure to submit the subscription agreement during the Enrollment Window pursuant to this Section 5(a) will result in the automatic termination of his or her participation in the first Offering Period under the Plan.</w:t>
      </w:r>
    </w:p>
    <w:p>
      <w:pPr>
        <w:spacing w:after="0" w:line="143" w:lineRule="exact"/>
        <w:rPr>
          <w:rFonts w:ascii="Arial" w:cs="Arial" w:eastAsia="Arial" w:hAnsi="Arial"/>
          <w:sz w:val="19"/>
          <w:szCs w:val="19"/>
          <w:color w:val="auto"/>
        </w:rPr>
      </w:pPr>
    </w:p>
    <w:p>
      <w:pPr>
        <w:jc w:val="both"/>
        <w:ind w:firstLine="1305"/>
        <w:spacing w:after="0" w:line="251" w:lineRule="auto"/>
        <w:tabs>
          <w:tab w:leader="none" w:pos="1850" w:val="left"/>
        </w:tabs>
        <w:numPr>
          <w:ilvl w:val="2"/>
          <w:numId w:val="52"/>
        </w:numPr>
        <w:rPr>
          <w:rFonts w:ascii="Arial" w:cs="Arial" w:eastAsia="Arial" w:hAnsi="Arial"/>
          <w:sz w:val="22"/>
          <w:szCs w:val="22"/>
          <w:color w:val="auto"/>
        </w:rPr>
      </w:pPr>
      <w:r>
        <w:rPr>
          <w:rFonts w:ascii="Arial" w:cs="Arial" w:eastAsia="Arial" w:hAnsi="Arial"/>
          <w:sz w:val="22"/>
          <w:szCs w:val="22"/>
          <w:u w:val="single" w:color="auto"/>
          <w:color w:val="auto"/>
        </w:rPr>
        <w:t>Subsequent Offering Periods</w:t>
      </w:r>
      <w:r>
        <w:rPr>
          <w:rFonts w:ascii="Arial" w:cs="Arial" w:eastAsia="Arial" w:hAnsi="Arial"/>
          <w:sz w:val="22"/>
          <w:szCs w:val="22"/>
          <w:color w:val="auto"/>
        </w:rPr>
        <w:t>. An Eligible Employee who is eligible to participate in the Plan pursuant to Section 3(b) may become a participant by (i) submitting to the Company’s payroll office (or its designee), on or before a date prescribed by the Administrator prior to an applicable Offering Date, a properly completed subscription agreement authorizing contributions to the Plan in the form provided by the Administrator for such purpose, or (ii) following an electronic or other enrollment procedure prescribed by the Administrator.</w:t>
      </w:r>
    </w:p>
    <w:p>
      <w:pPr>
        <w:spacing w:after="0" w:line="189" w:lineRule="exact"/>
        <w:rPr>
          <w:rFonts w:ascii="Arial" w:cs="Arial" w:eastAsia="Arial" w:hAnsi="Arial"/>
          <w:sz w:val="22"/>
          <w:szCs w:val="22"/>
          <w:color w:val="auto"/>
        </w:rPr>
      </w:pPr>
    </w:p>
    <w:p>
      <w:pPr>
        <w:ind w:left="1000" w:hanging="344"/>
        <w:spacing w:after="0"/>
        <w:tabs>
          <w:tab w:leader="none" w:pos="100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Payroll Deductions/Contributions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2" w:lineRule="auto"/>
        <w:tabs>
          <w:tab w:leader="none" w:pos="1716" w:val="left"/>
        </w:tabs>
        <w:numPr>
          <w:ilvl w:val="2"/>
          <w:numId w:val="53"/>
        </w:numPr>
        <w:rPr>
          <w:rFonts w:ascii="Arial" w:cs="Arial" w:eastAsia="Arial" w:hAnsi="Arial"/>
          <w:sz w:val="19"/>
          <w:szCs w:val="19"/>
          <w:color w:val="auto"/>
        </w:rPr>
      </w:pPr>
      <w:r>
        <w:rPr>
          <w:rFonts w:ascii="Arial" w:cs="Arial" w:eastAsia="Arial" w:hAnsi="Arial"/>
          <w:sz w:val="19"/>
          <w:szCs w:val="19"/>
          <w:color w:val="auto"/>
        </w:rPr>
        <w:t>At the time a participant enrolls in the Plan pursuant to Section 5, he or she will elect to have payroll deductions made on each pay day during the Offering Period in an amount not exceeding fifteen percent (15%) of the Compensation which he or she receives on each pay day during the Offering Period; provided, however, that should a pay day occur on an Exercise Date, a participant will have the payroll deductions made on such day applied to his or her account under the subsequent Offering Period. To the extent required by Applicable Laws, the Administrator, in its discretion, may decide that a participant may contribute to the Plan by means other than payroll deductions, provided that allowing participants to contribute to the Plan by other means complies with the requirements of Section 423(b) of the Code. A participant’s subscription agreement will remain in effect for successive Offering Periods unless terminated as provided in Section 10 hereof.</w:t>
      </w:r>
    </w:p>
    <w:p>
      <w:pPr>
        <w:spacing w:after="0" w:line="155" w:lineRule="exact"/>
        <w:rPr>
          <w:rFonts w:ascii="Arial" w:cs="Arial" w:eastAsia="Arial" w:hAnsi="Arial"/>
          <w:sz w:val="19"/>
          <w:szCs w:val="19"/>
          <w:color w:val="auto"/>
        </w:rPr>
      </w:pPr>
    </w:p>
    <w:p>
      <w:pPr>
        <w:jc w:val="both"/>
        <w:ind w:firstLine="1305"/>
        <w:spacing w:after="0" w:line="251" w:lineRule="auto"/>
        <w:tabs>
          <w:tab w:leader="none" w:pos="1864" w:val="left"/>
        </w:tabs>
        <w:numPr>
          <w:ilvl w:val="2"/>
          <w:numId w:val="53"/>
        </w:numPr>
        <w:rPr>
          <w:rFonts w:ascii="Arial" w:cs="Arial" w:eastAsia="Arial" w:hAnsi="Arial"/>
          <w:sz w:val="22"/>
          <w:szCs w:val="22"/>
          <w:color w:val="auto"/>
        </w:rPr>
      </w:pPr>
      <w:r>
        <w:rPr>
          <w:rFonts w:ascii="Arial" w:cs="Arial" w:eastAsia="Arial" w:hAnsi="Arial"/>
          <w:sz w:val="22"/>
          <w:szCs w:val="22"/>
          <w:color w:val="auto"/>
        </w:rPr>
        <w:t>Payroll deductions or other contributions authorized by a participant will commence on the first pay day following the Offering Date and will end on the last pay day prior to the Exercise Date of such Offering Period to which such authorization is applicable, unless sooner terminated by the participant as provided in Section 10 hereof; provided, however, that for the first Offering Period under the Plan, payroll deductions or other contributions will commence on the first pay day on or following the Enrollment Window.</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30" w:val="left"/>
        </w:tabs>
        <w:numPr>
          <w:ilvl w:val="2"/>
          <w:numId w:val="53"/>
        </w:numPr>
        <w:rPr>
          <w:rFonts w:ascii="Arial" w:cs="Arial" w:eastAsia="Arial" w:hAnsi="Arial"/>
          <w:sz w:val="22"/>
          <w:szCs w:val="22"/>
          <w:color w:val="auto"/>
        </w:rPr>
      </w:pPr>
      <w:r>
        <w:rPr>
          <w:rFonts w:ascii="Arial" w:cs="Arial" w:eastAsia="Arial" w:hAnsi="Arial"/>
          <w:sz w:val="22"/>
          <w:szCs w:val="22"/>
          <w:color w:val="auto"/>
        </w:rPr>
        <w:t>All payroll deductions or other contributions made for a participant will be credited to his or her account under the Plan and will be withheld in whole percentages only. A participant may not make any additional payments into such account, unless required by Applicable Laws.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08" w:name="page109"/>
    <w:bookmarkEnd w:id="108"/>
    <w:p>
      <w:pPr>
        <w:jc w:val="both"/>
        <w:ind w:firstLine="1305"/>
        <w:spacing w:after="0" w:line="290" w:lineRule="auto"/>
        <w:tabs>
          <w:tab w:leader="none" w:pos="1742" w:val="left"/>
        </w:tabs>
        <w:numPr>
          <w:ilvl w:val="1"/>
          <w:numId w:val="54"/>
        </w:numPr>
        <w:rPr>
          <w:rFonts w:ascii="Arial" w:cs="Arial" w:eastAsia="Arial" w:hAnsi="Arial"/>
          <w:sz w:val="19"/>
          <w:szCs w:val="19"/>
          <w:color w:val="auto"/>
        </w:rPr>
      </w:pPr>
      <w:r>
        <w:rPr>
          <w:rFonts w:ascii="Arial" w:cs="Arial" w:eastAsia="Arial" w:hAnsi="Arial"/>
          <w:sz w:val="19"/>
          <w:szCs w:val="19"/>
          <w:color w:val="auto"/>
        </w:rPr>
        <w:t>A participant may withdraw, terminate or discontinue his or her participation in the Plan as provided in Section 10, but no other change can be made effective during an Offering Period and, specifically, a participant may not alter the amount of his or her payroll deductions or other contributions for that Offering Period. A participant may increase or decrease the rate of his or her payroll deductions or other contributions for any subsequent Offering Period by (i) properly completing and submitting to the Company’s payroll office (or its designee), on or before a date prescribed by the Administrator prior to the start of the next Offering Period, a new subscription agreement authorizing the change in payroll deduction or contribution rate in the form provided by the Administrator for such purpose, or (ii) following an electronic or other procedure prescribed by the Administrator. If a participant has not followed such procedures to change the rate of payroll deductions or other contributions, the rate of his or her payroll deductions or contributions will continue at the originally elected rate throughout the Offering Period and future Offering Periods (unless terminated as provided in Section 10).</w:t>
      </w:r>
    </w:p>
    <w:p>
      <w:pPr>
        <w:spacing w:after="0" w:line="155" w:lineRule="exact"/>
        <w:rPr>
          <w:rFonts w:ascii="Arial" w:cs="Arial" w:eastAsia="Arial" w:hAnsi="Arial"/>
          <w:sz w:val="19"/>
          <w:szCs w:val="19"/>
          <w:color w:val="auto"/>
        </w:rPr>
      </w:pPr>
    </w:p>
    <w:p>
      <w:pPr>
        <w:jc w:val="both"/>
        <w:ind w:firstLine="1305"/>
        <w:spacing w:after="0" w:line="260" w:lineRule="auto"/>
        <w:tabs>
          <w:tab w:leader="none" w:pos="1838" w:val="left"/>
        </w:tabs>
        <w:numPr>
          <w:ilvl w:val="1"/>
          <w:numId w:val="54"/>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3(c), or if the Administrator reasonably anticipates a participant has contributed a sufficient amount to purchase a number of shares of Common Stock equal to or in excess of the applicable limit for such Offering Period (as set forth in Section 7 or as established by the Administrator), a participant’s payroll deductions or other contributions may be decreased to zero percent (0%) at any time during an Offering Period. Subject to Section 423(b)(8) of the Code and Section 3(c) hereof, or for participants who have had their contributions reduced due to the applicable limits on the maximum number of shares that may be purchased in any Offering Period, payroll deductions or other contributions will recommence at the rate originally elected by the participant effective as of the beginning of the first Offering Period which is scheduled to end in the following calendar year, unless terminated by the participant as provided in Section 10.</w:t>
      </w:r>
    </w:p>
    <w:p>
      <w:pPr>
        <w:spacing w:after="0" w:line="184" w:lineRule="exact"/>
        <w:rPr>
          <w:rFonts w:ascii="Arial" w:cs="Arial" w:eastAsia="Arial" w:hAnsi="Arial"/>
          <w:sz w:val="21"/>
          <w:szCs w:val="21"/>
          <w:color w:val="auto"/>
        </w:rPr>
      </w:pPr>
    </w:p>
    <w:p>
      <w:pPr>
        <w:jc w:val="both"/>
        <w:ind w:firstLine="1305"/>
        <w:spacing w:after="0" w:line="294" w:lineRule="auto"/>
        <w:tabs>
          <w:tab w:leader="none" w:pos="17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At the time the option is exercised, in whole or in part, at the time some or all of the Common Stock issued under the Plan is disposed of, or at the time of any other relevant taxable event, the participant must make adequate provision for the Company’s or Employer’s federal, state, or any other tax liability payable to any authority, national insurance, social security or other tax withholding obligations, if any, which arise upon the relevant taxable event.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w:t>
      </w:r>
    </w:p>
    <w:p>
      <w:pPr>
        <w:spacing w:after="0" w:line="152" w:lineRule="exact"/>
        <w:rPr>
          <w:rFonts w:ascii="Arial" w:cs="Arial" w:eastAsia="Arial" w:hAnsi="Arial"/>
          <w:sz w:val="19"/>
          <w:szCs w:val="19"/>
          <w:color w:val="auto"/>
        </w:rPr>
      </w:pPr>
    </w:p>
    <w:p>
      <w:pPr>
        <w:jc w:val="both"/>
        <w:ind w:firstLine="656"/>
        <w:spacing w:after="0" w:line="297" w:lineRule="auto"/>
        <w:tabs>
          <w:tab w:leader="none" w:pos="1031"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On the Offering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Offering Period (i) ending prior to the Merger Effective Date, more than twenty thousand (20,000) shares of Common Stock and (ii) commencing after the Merger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21"/>
          <w:szCs w:val="21"/>
          <w:color w:val="auto"/>
        </w:rPr>
        <w:t>Effective Date, more than three thousand (3,000) shares of the Common Stock, in each case subject to any adjustment pursuant to Section 19, and provided further that such purchase will be subject to the limitations set forth in Sections 3(c) and 13. The Eligible Employee may accept the grant of such option (i) with respect to the first Offering Period under the Plan, by submitting a properly completed subscription agreement in accordance with the requirements of Section 5(a) on or before the last day of the Enrollment Window, and (ii) with respect to any future Offering Period under the Plan, by electing to participate in the Plan in accordance with the requirements of Section 5(b). The Administrator may, for future Offering Periods, increase or decrease, in its absolute discretion, the maximum number of shares of Common Stock that a participant may purchase during each Offering Period. Exercise of the option will occur as provided in Section 8, unless the participant has withdrawn pursuant to Section 10. The option will expire on the last day of the Offering Period.</w:t>
      </w:r>
    </w:p>
    <w:p>
      <w:pPr>
        <w:spacing w:after="0" w:line="180" w:lineRule="exact"/>
        <w:rPr>
          <w:sz w:val="20"/>
          <w:szCs w:val="20"/>
          <w:color w:val="auto"/>
        </w:rPr>
      </w:pPr>
    </w:p>
    <w:p>
      <w:pPr>
        <w:ind w:left="1000" w:hanging="344"/>
        <w:spacing w:after="0"/>
        <w:tabs>
          <w:tab w:leader="none" w:pos="10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1" w:lineRule="auto"/>
        <w:tabs>
          <w:tab w:leader="none" w:pos="1770" w:val="left"/>
        </w:tabs>
        <w:numPr>
          <w:ilvl w:val="1"/>
          <w:numId w:val="56"/>
        </w:numPr>
        <w:rPr>
          <w:rFonts w:ascii="Arial" w:cs="Arial" w:eastAsia="Arial" w:hAnsi="Arial"/>
          <w:sz w:val="21"/>
          <w:szCs w:val="21"/>
          <w:color w:val="auto"/>
        </w:rPr>
      </w:pPr>
      <w:r>
        <w:rPr>
          <w:rFonts w:ascii="Arial" w:cs="Arial" w:eastAsia="Arial" w:hAnsi="Arial"/>
          <w:sz w:val="21"/>
          <w:szCs w:val="21"/>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in his or her account. No fractional shares of Common Stock will be purchased; any contributions accumulated in a participant’s account which are not sufficient to purchase a full share will be returned to the participant (without interest thereon, except as otherwise required under Applicable Laws) as soon as administratively practicable. Any other funds left over in a participant’s account after the Exercise Date will be returned to the participant. During a participant’s lifetime, a participant’s option to purchase shares hereunder is exercisable only by him or her.</w:t>
      </w:r>
    </w:p>
    <w:p>
      <w:pPr>
        <w:spacing w:after="0" w:line="181" w:lineRule="exact"/>
        <w:rPr>
          <w:rFonts w:ascii="Arial" w:cs="Arial" w:eastAsia="Arial" w:hAnsi="Arial"/>
          <w:sz w:val="21"/>
          <w:szCs w:val="21"/>
          <w:color w:val="auto"/>
        </w:rPr>
      </w:pPr>
    </w:p>
    <w:p>
      <w:pPr>
        <w:jc w:val="both"/>
        <w:ind w:firstLine="1305"/>
        <w:spacing w:after="0" w:line="259" w:lineRule="auto"/>
        <w:tabs>
          <w:tab w:leader="none" w:pos="1783" w:val="left"/>
        </w:tabs>
        <w:numPr>
          <w:ilvl w:val="1"/>
          <w:numId w:val="56"/>
        </w:numPr>
        <w:rPr>
          <w:rFonts w:ascii="Arial" w:cs="Arial" w:eastAsia="Arial" w:hAnsi="Arial"/>
          <w:sz w:val="21"/>
          <w:szCs w:val="21"/>
          <w:color w:val="auto"/>
        </w:rPr>
      </w:pPr>
      <w:r>
        <w:rPr>
          <w:rFonts w:ascii="Arial" w:cs="Arial" w:eastAsia="Arial" w:hAnsi="Arial"/>
          <w:sz w:val="21"/>
          <w:szCs w:val="21"/>
          <w:color w:val="auto"/>
        </w:rPr>
        <w:t>Notwithstanding any contrary Plan provision, 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subject in each case to the 400,000 share limitation per Offering Period as set forth in Section 13(a) below,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either (x) continue all Offering Periods then in effect or (y) terminate any or all Offering Periods then in effect pursuant to Section 20.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81" w:lineRule="exact"/>
        <w:rPr>
          <w:rFonts w:ascii="Arial" w:cs="Arial" w:eastAsia="Arial" w:hAnsi="Arial"/>
          <w:sz w:val="21"/>
          <w:szCs w:val="21"/>
          <w:color w:val="auto"/>
        </w:rPr>
      </w:pPr>
    </w:p>
    <w:p>
      <w:pPr>
        <w:jc w:val="both"/>
        <w:ind w:firstLine="656"/>
        <w:spacing w:after="0" w:line="320" w:lineRule="auto"/>
        <w:tabs>
          <w:tab w:leader="none" w:pos="103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Delivery</w:t>
      </w:r>
      <w:r>
        <w:rPr>
          <w:rFonts w:ascii="Arial" w:cs="Arial" w:eastAsia="Arial" w:hAnsi="Arial"/>
          <w:sz w:val="19"/>
          <w:szCs w:val="19"/>
          <w:color w:val="auto"/>
        </w:rPr>
        <w:t>. As soon as administratively practicable after each Exercise Date on which a purchase of shares of Common Stock occurs, the Company will arrange the delivery to each participant, as appropriate, of the shares purchased upon exercise of his or her option in a form determined by the Administrator (in its sole discretion) and pursuant to rules established by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110" w:name="page111"/>
    <w:bookmarkEnd w:id="110"/>
    <w:p>
      <w:pPr>
        <w:jc w:val="both"/>
        <w:spacing w:after="0" w:line="294" w:lineRule="auto"/>
        <w:rPr>
          <w:sz w:val="20"/>
          <w:szCs w:val="20"/>
          <w:color w:val="auto"/>
        </w:rPr>
      </w:pPr>
      <w:r>
        <w:rPr>
          <w:rFonts w:ascii="Arial" w:cs="Arial" w:eastAsia="Arial" w:hAnsi="Arial"/>
          <w:sz w:val="19"/>
          <w:szCs w:val="19"/>
          <w:color w:val="auto"/>
        </w:rPr>
        <w:t>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50" w:lineRule="exact"/>
        <w:rPr>
          <w:sz w:val="20"/>
          <w:szCs w:val="20"/>
          <w:color w:val="auto"/>
        </w:rPr>
      </w:pPr>
    </w:p>
    <w:p>
      <w:pPr>
        <w:ind w:left="1100" w:hanging="444"/>
        <w:spacing w:after="0"/>
        <w:tabs>
          <w:tab w:leader="none" w:pos="11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Withdrawal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1" w:lineRule="auto"/>
        <w:tabs>
          <w:tab w:leader="none" w:pos="1716" w:val="left"/>
        </w:tabs>
        <w:numPr>
          <w:ilvl w:val="1"/>
          <w:numId w:val="57"/>
        </w:numPr>
        <w:rPr>
          <w:rFonts w:ascii="Arial" w:cs="Arial" w:eastAsia="Arial" w:hAnsi="Arial"/>
          <w:sz w:val="19"/>
          <w:szCs w:val="19"/>
          <w:color w:val="auto"/>
        </w:rPr>
      </w:pPr>
      <w:r>
        <w:rPr>
          <w:rFonts w:ascii="Arial" w:cs="Arial" w:eastAsia="Arial" w:hAnsi="Arial"/>
          <w:sz w:val="19"/>
          <w:szCs w:val="19"/>
          <w:color w:val="auto"/>
        </w:rPr>
        <w:t>Pursuant to procedures established by the Administrator, a participant may withdraw all but not less than all the contributions credited to his or her account and not yet used to exercise his or her option under the Plan at any time by (i) submitting to the Company’s payroll office (or its designee) a written notice of withdrawal in the form prescribed by the Administrator for such purpose, or (ii) following an electronic or other withdrawal procedure prescribed by the Administrator. All of the participant’s contributions credited to his or her account will be paid to such participant as promptly as practicable after the effective date of his or her withdrawal and such participant’s option for the Offering Period will be automatically terminated, and no further payroll deductions or other contributions for the purchase of shares will be made for such Offering Period. If a participant withdraws from an Offering Period, payroll deductions or other contributions will not resume at the beginning of the succeeding Offering Period unless the participant re-enrolls in the Plan in accordance with the provisions of Section 5.</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85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 participant’s withdrawal from an Offering Period will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9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89" w:lineRule="exact"/>
        <w:rPr>
          <w:rFonts w:ascii="Arial" w:cs="Arial" w:eastAsia="Arial" w:hAnsi="Arial"/>
          <w:sz w:val="22"/>
          <w:szCs w:val="22"/>
          <w:color w:val="auto"/>
        </w:rPr>
      </w:pPr>
    </w:p>
    <w:p>
      <w:pPr>
        <w:ind w:left="1100" w:hanging="444"/>
        <w:spacing w:after="0"/>
        <w:tabs>
          <w:tab w:leader="none" w:pos="110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No interest will accrue on the contributions of a participant in the Plan, unless required by Applicable Laws.</w:t>
      </w:r>
    </w:p>
    <w:p>
      <w:pPr>
        <w:spacing w:after="0" w:line="267" w:lineRule="exact"/>
        <w:rPr>
          <w:rFonts w:ascii="Arial" w:cs="Arial" w:eastAsia="Arial" w:hAnsi="Arial"/>
          <w:sz w:val="19"/>
          <w:szCs w:val="19"/>
          <w:color w:val="auto"/>
        </w:rPr>
      </w:pPr>
    </w:p>
    <w:p>
      <w:pPr>
        <w:ind w:left="1100" w:hanging="444"/>
        <w:spacing w:after="0"/>
        <w:tabs>
          <w:tab w:leader="none" w:pos="11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70" w:lineRule="auto"/>
        <w:tabs>
          <w:tab w:leader="none" w:pos="1797" w:val="left"/>
        </w:tabs>
        <w:numPr>
          <w:ilvl w:val="1"/>
          <w:numId w:val="57"/>
        </w:numPr>
        <w:rPr>
          <w:rFonts w:ascii="Arial" w:cs="Arial" w:eastAsia="Arial" w:hAnsi="Arial"/>
          <w:sz w:val="21"/>
          <w:szCs w:val="21"/>
          <w:color w:val="auto"/>
        </w:rPr>
      </w:pPr>
      <w:r>
        <w:rPr>
          <w:rFonts w:ascii="Arial" w:cs="Arial" w:eastAsia="Arial" w:hAnsi="Arial"/>
          <w:sz w:val="21"/>
          <w:szCs w:val="21"/>
          <w:color w:val="auto"/>
        </w:rPr>
        <w:t>Subject to adjustment upon changes in capitalization of the Company as provided in Section 19 hereof, the maximum number of shares of Common Stock which will be made available for sale under the Plan will be 6,242,871 shares (representing 5,388,084 shares of TriQuint Common Stock available under the Plan immediately prior to the Merger Effective Date, as adjusted by the TriQuint Exchange Ratio, plus 854,787 shares of the Common Stock, no par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11" w:name="page112"/>
    <w:bookmarkEnd w:id="111"/>
    <w:p>
      <w:pPr>
        <w:jc w:val="both"/>
        <w:spacing w:after="0" w:line="263" w:lineRule="auto"/>
        <w:rPr>
          <w:sz w:val="20"/>
          <w:szCs w:val="20"/>
          <w:color w:val="auto"/>
        </w:rPr>
      </w:pPr>
      <w:r>
        <w:rPr>
          <w:rFonts w:ascii="Arial" w:cs="Arial" w:eastAsia="Arial" w:hAnsi="Arial"/>
          <w:sz w:val="21"/>
          <w:szCs w:val="21"/>
          <w:color w:val="auto"/>
        </w:rPr>
        <w:t>value per share, of RFMD available under the Employee Stock Purchase Plan of RF Micro Devices, Inc., as amended, immediately prior to the Merger Effective Date, as adjusted by the RFMD Exchange Ratio). Any or all of such shares of Common Stock may be granted under the Code Section 423(b) Component or the Non-423(b) Component. The maximum number of shares of Common Stock that may be purchased during any single Offering Period shall not exceed four hundred thousand (400,000) shares (subject to adjustment as provided in Section 19 herein).</w:t>
      </w:r>
    </w:p>
    <w:p>
      <w:pPr>
        <w:spacing w:after="0" w:line="176" w:lineRule="exact"/>
        <w:rPr>
          <w:sz w:val="20"/>
          <w:szCs w:val="20"/>
          <w:color w:val="auto"/>
        </w:rPr>
      </w:pPr>
    </w:p>
    <w:p>
      <w:pPr>
        <w:jc w:val="both"/>
        <w:ind w:firstLine="1305"/>
        <w:spacing w:after="0" w:line="320" w:lineRule="auto"/>
        <w:tabs>
          <w:tab w:leader="none" w:pos="1783" w:val="left"/>
        </w:tabs>
        <w:numPr>
          <w:ilvl w:val="1"/>
          <w:numId w:val="58"/>
        </w:numPr>
        <w:rPr>
          <w:rFonts w:ascii="Arial" w:cs="Arial" w:eastAsia="Arial" w:hAnsi="Arial"/>
          <w:sz w:val="19"/>
          <w:szCs w:val="19"/>
          <w:color w:val="auto"/>
        </w:rPr>
      </w:pPr>
      <w:r>
        <w:rPr>
          <w:rFonts w:ascii="Arial" w:cs="Arial" w:eastAsia="Arial" w:hAnsi="Arial"/>
          <w:sz w:val="19"/>
          <w:szCs w:val="19"/>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25" w:lineRule="exact"/>
        <w:rPr>
          <w:rFonts w:ascii="Arial" w:cs="Arial" w:eastAsia="Arial" w:hAnsi="Arial"/>
          <w:sz w:val="19"/>
          <w:szCs w:val="19"/>
          <w:color w:val="auto"/>
        </w:rPr>
      </w:pPr>
    </w:p>
    <w:p>
      <w:pPr>
        <w:ind w:right="20" w:firstLine="1305"/>
        <w:spacing w:after="0" w:line="276" w:lineRule="auto"/>
        <w:tabs>
          <w:tab w:leader="none" w:pos="1757" w:val="left"/>
        </w:tabs>
        <w:numPr>
          <w:ilvl w:val="1"/>
          <w:numId w:val="58"/>
        </w:numPr>
        <w:rPr>
          <w:rFonts w:ascii="Arial" w:cs="Arial" w:eastAsia="Arial" w:hAnsi="Arial"/>
          <w:sz w:val="22"/>
          <w:szCs w:val="22"/>
          <w:color w:val="auto"/>
        </w:rPr>
      </w:pPr>
      <w:r>
        <w:rPr>
          <w:rFonts w:ascii="Arial" w:cs="Arial" w:eastAsia="Arial" w:hAnsi="Arial"/>
          <w:sz w:val="22"/>
          <w:szCs w:val="22"/>
          <w:color w:val="auto"/>
        </w:rPr>
        <w:t>Shares of Common Stock to be delivered to a participant under the Plan will be registered in the name of the participant or in the name of the participant and his or her spouse.</w:t>
      </w:r>
    </w:p>
    <w:p>
      <w:pPr>
        <w:spacing w:after="0" w:line="160" w:lineRule="exact"/>
        <w:rPr>
          <w:rFonts w:ascii="Arial" w:cs="Arial" w:eastAsia="Arial" w:hAnsi="Arial"/>
          <w:sz w:val="22"/>
          <w:szCs w:val="22"/>
          <w:color w:val="auto"/>
        </w:rPr>
      </w:pPr>
    </w:p>
    <w:p>
      <w:pPr>
        <w:jc w:val="both"/>
        <w:ind w:firstLine="656"/>
        <w:spacing w:after="0" w:line="287" w:lineRule="auto"/>
        <w:tabs>
          <w:tab w:leader="none" w:pos="1098"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determine eligibility and to adjudicate all disputed claims filed under the Plan. Every finding, decision and determination made by the Administrator will, to the full extent permitted by law, be final and binding upon all parties. Notwithstanding any provision to the contrary in this Plan, the Administrator may adopt rules, procedures or sub-plans relating to the operation and administration of the Plan to accommodate the specific requirements of Applicable Laws and procedures for jurisdictions outside of the United States, and may delegate authority to implement any of the foregoing to any specified officer of the Company in accordance with Applicable Laws and subject to such terms and conditions as may be determined by the Administrator. Without limiting the generality of the foregoing, the Administrator is specifically authorized to adopt rules, procedures and sub-plans regarding the duration and timing of Offering Periods and Purchase Periods, eligibility to participate, the definition of Compensation, handling of payroll deductions,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which vary with local requirements, and may delegate authority to implement any of the foregoing to any specified officer of the Company in accordance with Applicable Laws and subject to such terms and conditions as may be determined by the Administrator.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100" w:hanging="444"/>
        <w:spacing w:after="0"/>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6" w:lineRule="auto"/>
        <w:tabs>
          <w:tab w:leader="none" w:pos="1730" w:val="left"/>
        </w:tabs>
        <w:numPr>
          <w:ilvl w:val="1"/>
          <w:numId w:val="59"/>
        </w:numPr>
        <w:rPr>
          <w:rFonts w:ascii="Arial" w:cs="Arial" w:eastAsia="Arial" w:hAnsi="Arial"/>
          <w:sz w:val="21"/>
          <w:szCs w:val="21"/>
          <w:color w:val="auto"/>
        </w:rPr>
      </w:pPr>
      <w:r>
        <w:rPr>
          <w:rFonts w:ascii="Arial" w:cs="Arial" w:eastAsia="Arial" w:hAnsi="Arial"/>
          <w:sz w:val="21"/>
          <w:szCs w:val="21"/>
          <w:color w:val="auto"/>
        </w:rPr>
        <w:t>Except as otherwise provided by the Administrator, a participant may designate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except as otherwise provided by the Administrator, a participant may designate a beneficiary who is to receive any cash from the participant’s account under the Plan in the event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of such participant’s death prior to exercise of the option. If a participant is married and the designated beneficiary is not the spouse, spousal consent will be required for such designation to be effective.</w:t>
      </w:r>
    </w:p>
    <w:p>
      <w:pPr>
        <w:spacing w:after="0" w:line="175" w:lineRule="exact"/>
        <w:rPr>
          <w:sz w:val="20"/>
          <w:szCs w:val="20"/>
          <w:color w:val="auto"/>
        </w:rPr>
      </w:pPr>
    </w:p>
    <w:p>
      <w:pPr>
        <w:jc w:val="both"/>
        <w:ind w:firstLine="1305"/>
        <w:spacing w:after="0" w:line="248" w:lineRule="auto"/>
        <w:tabs>
          <w:tab w:leader="none" w:pos="17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95" w:lineRule="exact"/>
        <w:rPr>
          <w:rFonts w:ascii="Arial" w:cs="Arial" w:eastAsia="Arial" w:hAnsi="Arial"/>
          <w:sz w:val="22"/>
          <w:szCs w:val="22"/>
          <w:color w:val="auto"/>
        </w:rPr>
      </w:pPr>
    </w:p>
    <w:p>
      <w:pPr>
        <w:ind w:right="20" w:firstLine="1305"/>
        <w:spacing w:after="0" w:line="276" w:lineRule="auto"/>
        <w:tabs>
          <w:tab w:leader="none" w:pos="1743"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 beneficiary designations under this Section 15 will be made in such form and manner as the Administrator may prescribe from time to time.</w:t>
      </w:r>
    </w:p>
    <w:p>
      <w:pPr>
        <w:spacing w:after="0" w:line="160" w:lineRule="exact"/>
        <w:rPr>
          <w:rFonts w:ascii="Arial" w:cs="Arial" w:eastAsia="Arial" w:hAnsi="Arial"/>
          <w:sz w:val="22"/>
          <w:szCs w:val="22"/>
          <w:color w:val="auto"/>
        </w:rPr>
      </w:pPr>
    </w:p>
    <w:p>
      <w:pPr>
        <w:jc w:val="both"/>
        <w:ind w:firstLine="656"/>
        <w:spacing w:after="0" w:line="266" w:lineRule="auto"/>
        <w:tabs>
          <w:tab w:leader="none" w:pos="109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by the participant. Any such attempt at assignment, transfer, pledge or other disposition will be without effect, except that the Company may treat such act as an election to withdraw from an Offering Period in accordance with Section 10.</w:t>
      </w:r>
    </w:p>
    <w:p>
      <w:pPr>
        <w:spacing w:after="0" w:line="174" w:lineRule="exact"/>
        <w:rPr>
          <w:rFonts w:ascii="Arial" w:cs="Arial" w:eastAsia="Arial" w:hAnsi="Arial"/>
          <w:sz w:val="21"/>
          <w:szCs w:val="21"/>
          <w:color w:val="auto"/>
        </w:rPr>
      </w:pPr>
    </w:p>
    <w:p>
      <w:pPr>
        <w:jc w:val="both"/>
        <w:ind w:firstLine="656"/>
        <w:spacing w:after="0" w:line="320" w:lineRule="auto"/>
        <w:tabs>
          <w:tab w:leader="none" w:pos="109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Use of Funds</w:t>
      </w:r>
      <w:r>
        <w:rPr>
          <w:rFonts w:ascii="Arial" w:cs="Arial" w:eastAsia="Arial" w:hAnsi="Arial"/>
          <w:sz w:val="19"/>
          <w:szCs w:val="19"/>
          <w:color w:val="auto"/>
        </w:rPr>
        <w:t>. The Company may use all contributions received or held by it under the Plan for any corporate purpose, and the Company will not be obligated to segregate such contributions, unless required by Applicable Laws. Until shares of Common Stock are issued, participants will only have the rights of an unsecured creditor with respect to such shares.</w:t>
      </w:r>
    </w:p>
    <w:p>
      <w:pPr>
        <w:spacing w:after="0" w:line="125" w:lineRule="exact"/>
        <w:rPr>
          <w:rFonts w:ascii="Arial" w:cs="Arial" w:eastAsia="Arial" w:hAnsi="Arial"/>
          <w:sz w:val="19"/>
          <w:szCs w:val="19"/>
          <w:color w:val="auto"/>
        </w:rPr>
      </w:pPr>
    </w:p>
    <w:p>
      <w:pPr>
        <w:jc w:val="both"/>
        <w:ind w:firstLine="656"/>
        <w:spacing w:after="0" w:line="278" w:lineRule="auto"/>
        <w:tabs>
          <w:tab w:leader="none" w:pos="109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60" w:lineRule="exact"/>
        <w:rPr>
          <w:rFonts w:ascii="Arial" w:cs="Arial" w:eastAsia="Arial" w:hAnsi="Arial"/>
          <w:sz w:val="21"/>
          <w:szCs w:val="21"/>
          <w:color w:val="auto"/>
        </w:rPr>
      </w:pPr>
    </w:p>
    <w:p>
      <w:pPr>
        <w:ind w:left="1100" w:hanging="444"/>
        <w:spacing w:after="0"/>
        <w:tabs>
          <w:tab w:leader="none" w:pos="11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Adjustments, Dissolution, Liquidation, Merger or Change in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730"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shall, in such manner as it may deem equitable, adjust the number and class of Common Stock which may be delivered under the Plan, the Purchase Price per share and the number of shares of Common Stock covered by each option under the Plan which has not yet been exercised, and the numerical limits of Section 7.</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13" w:name="page114"/>
    <w:bookmarkEnd w:id="113"/>
    <w:p>
      <w:pPr>
        <w:jc w:val="both"/>
        <w:ind w:firstLine="1305"/>
        <w:spacing w:after="0" w:line="248" w:lineRule="auto"/>
        <w:tabs>
          <w:tab w:leader="none" w:pos="1891"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any Offering Period then in progress will be shortened by setting a new Exercise Date (the “</w:t>
      </w:r>
      <w:r>
        <w:rPr>
          <w:rFonts w:ascii="Arial" w:cs="Arial" w:eastAsia="Arial" w:hAnsi="Arial"/>
          <w:sz w:val="22"/>
          <w:szCs w:val="22"/>
          <w:u w:val="single" w:color="auto"/>
          <w:color w:val="auto"/>
        </w:rPr>
        <w:t>New Exercise Date</w:t>
      </w:r>
      <w:r>
        <w:rPr>
          <w:rFonts w:ascii="Arial" w:cs="Arial" w:eastAsia="Arial" w:hAnsi="Arial"/>
          <w:sz w:val="22"/>
          <w:szCs w:val="22"/>
          <w:color w:val="auto"/>
        </w:rPr>
        <w:t>”),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at least ten (10) business days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w:t>
      </w:r>
    </w:p>
    <w:p>
      <w:pPr>
        <w:spacing w:after="0" w:line="191" w:lineRule="exact"/>
        <w:rPr>
          <w:rFonts w:ascii="Arial" w:cs="Arial" w:eastAsia="Arial" w:hAnsi="Arial"/>
          <w:sz w:val="22"/>
          <w:szCs w:val="22"/>
          <w:color w:val="auto"/>
        </w:rPr>
      </w:pPr>
    </w:p>
    <w:p>
      <w:pPr>
        <w:jc w:val="both"/>
        <w:ind w:firstLine="1305"/>
        <w:spacing w:after="0" w:line="291" w:lineRule="auto"/>
        <w:tabs>
          <w:tab w:leader="none" w:pos="1878"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Merger or Change in Control</w:t>
      </w:r>
      <w:r>
        <w:rPr>
          <w:rFonts w:ascii="Arial" w:cs="Arial" w:eastAsia="Arial" w:hAnsi="Arial"/>
          <w:sz w:val="19"/>
          <w:szCs w:val="19"/>
          <w:color w:val="auto"/>
        </w:rPr>
        <w:t>. In the event of a merger or Change in Control, unless the Administrator determines otherwise, each outstanding option will be assumed or an equivalent option substituted by the successor corporation or a Parent or Subsidiary of the successor corporation. In the event that the successor corporation refuses to assume or substitute for the option, unless the Administrator determines otherwise, the Offering Period with respect to which such option relates will be shortened by setting a new Exercise Date (the “</w:t>
      </w:r>
      <w:r>
        <w:rPr>
          <w:rFonts w:ascii="Arial" w:cs="Arial" w:eastAsia="Arial" w:hAnsi="Arial"/>
          <w:sz w:val="19"/>
          <w:szCs w:val="19"/>
          <w:u w:val="single" w:color="auto"/>
          <w:color w:val="auto"/>
        </w:rPr>
        <w:t>CIC New Exercise Date</w:t>
      </w:r>
      <w:r>
        <w:rPr>
          <w:rFonts w:ascii="Arial" w:cs="Arial" w:eastAsia="Arial" w:hAnsi="Arial"/>
          <w:sz w:val="19"/>
          <w:szCs w:val="19"/>
          <w:color w:val="auto"/>
        </w:rPr>
        <w:t>”) and will end on the CIC New Exercise Date. The CIC New Exercise Date will occur before the date of the Company’s proposed merger or Change in Control. The Administrator will notify each participant in writing prior to the CIC New Exercise Date, that the Exercise Date for the participant’s option has been changed to the CIC New Exercise Date and that the participant’s option will be exercised automatically on the CIC New Exercise Date, unless prior to such date the participant has withdrawn from the Offering Period as provided in Section 10.</w:t>
      </w:r>
    </w:p>
    <w:p>
      <w:pPr>
        <w:spacing w:after="0" w:line="154" w:lineRule="exact"/>
        <w:rPr>
          <w:rFonts w:ascii="Arial" w:cs="Arial" w:eastAsia="Arial" w:hAnsi="Arial"/>
          <w:sz w:val="19"/>
          <w:szCs w:val="19"/>
          <w:color w:val="auto"/>
        </w:rPr>
      </w:pPr>
    </w:p>
    <w:p>
      <w:pPr>
        <w:ind w:left="1100" w:hanging="444"/>
        <w:spacing w:after="0"/>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Amendment or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1" w:lineRule="auto"/>
        <w:tabs>
          <w:tab w:leader="none" w:pos="1730"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which have not been used to purchase shares of Common Stock will be returned to the participants (without interest thereon, except as otherwise required under Applicable Laws) as soon as administratively practicable.</w:t>
      </w:r>
    </w:p>
    <w:p>
      <w:pPr>
        <w:spacing w:after="0" w:line="181" w:lineRule="exact"/>
        <w:rPr>
          <w:rFonts w:ascii="Arial" w:cs="Arial" w:eastAsia="Arial" w:hAnsi="Arial"/>
          <w:sz w:val="21"/>
          <w:szCs w:val="21"/>
          <w:color w:val="auto"/>
        </w:rPr>
      </w:pPr>
    </w:p>
    <w:p>
      <w:pPr>
        <w:jc w:val="both"/>
        <w:ind w:firstLine="1305"/>
        <w:spacing w:after="0" w:line="250" w:lineRule="auto"/>
        <w:tabs>
          <w:tab w:leader="none" w:pos="1783" w:val="left"/>
        </w:tabs>
        <w:numPr>
          <w:ilvl w:val="1"/>
          <w:numId w:val="63"/>
        </w:numPr>
        <w:rPr>
          <w:rFonts w:ascii="Arial" w:cs="Arial" w:eastAsia="Arial" w:hAnsi="Arial"/>
          <w:sz w:val="22"/>
          <w:szCs w:val="22"/>
          <w:color w:val="auto"/>
        </w:rPr>
      </w:pPr>
      <w:r>
        <w:rPr>
          <w:rFonts w:ascii="Arial" w:cs="Arial" w:eastAsia="Arial" w:hAnsi="Arial"/>
          <w:sz w:val="22"/>
          <w:szCs w:val="22"/>
          <w:color w:val="auto"/>
        </w:rPr>
        <w:t>Without stockholder consent and without limiting Section 20(a), the Administrator will be entitled to change the Offering Periods, establish the exchange ratio applicable to amounts withheld in a currency other than U.S. dollars, permit payroll deductions or contributions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22"/>
          <w:szCs w:val="22"/>
          <w:color w:val="auto"/>
        </w:rPr>
        <w:t>withheld from the participant’s Compensation, and establish such other limitations or procedures as the Administrator determines in its sole discretion advisable which are consistent with the Plan.</w:t>
      </w:r>
    </w:p>
    <w:p>
      <w:pPr>
        <w:spacing w:after="0" w:line="175" w:lineRule="exact"/>
        <w:rPr>
          <w:sz w:val="20"/>
          <w:szCs w:val="20"/>
          <w:color w:val="auto"/>
        </w:rPr>
      </w:pPr>
    </w:p>
    <w:p>
      <w:pPr>
        <w:jc w:val="both"/>
        <w:ind w:firstLine="1305"/>
        <w:spacing w:after="0" w:line="320" w:lineRule="auto"/>
        <w:tabs>
          <w:tab w:leader="none" w:pos="1811"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25" w:lineRule="exact"/>
        <w:rPr>
          <w:rFonts w:ascii="Arial" w:cs="Arial" w:eastAsia="Arial" w:hAnsi="Arial"/>
          <w:sz w:val="19"/>
          <w:szCs w:val="19"/>
          <w:color w:val="auto"/>
        </w:rPr>
      </w:pPr>
    </w:p>
    <w:p>
      <w:pPr>
        <w:ind w:firstLine="1953"/>
        <w:spacing w:after="0" w:line="276" w:lineRule="auto"/>
        <w:tabs>
          <w:tab w:leader="none" w:pos="2356" w:val="left"/>
        </w:tabs>
        <w:numPr>
          <w:ilvl w:val="1"/>
          <w:numId w:val="64"/>
        </w:numPr>
        <w:rPr>
          <w:rFonts w:ascii="Arial" w:cs="Arial" w:eastAsia="Arial" w:hAnsi="Arial"/>
          <w:sz w:val="22"/>
          <w:szCs w:val="22"/>
          <w:color w:val="auto"/>
        </w:rPr>
      </w:pPr>
      <w:r>
        <w:rPr>
          <w:rFonts w:ascii="Arial" w:cs="Arial" w:eastAsia="Arial" w:hAnsi="Arial"/>
          <w:sz w:val="22"/>
          <w:szCs w:val="22"/>
          <w:color w:val="auto"/>
        </w:rPr>
        <w:t>amending the Plan to conform with the safe harbor definition under Statement of Financial Accounting Standards 123(R), including with respect to an Offering Period underway at the time;</w:t>
      </w:r>
    </w:p>
    <w:p>
      <w:pPr>
        <w:spacing w:after="0" w:line="160" w:lineRule="exact"/>
        <w:rPr>
          <w:rFonts w:ascii="Arial" w:cs="Arial" w:eastAsia="Arial" w:hAnsi="Arial"/>
          <w:sz w:val="22"/>
          <w:szCs w:val="22"/>
          <w:color w:val="auto"/>
        </w:rPr>
      </w:pPr>
    </w:p>
    <w:p>
      <w:pPr>
        <w:ind w:firstLine="1953"/>
        <w:spacing w:after="0" w:line="276" w:lineRule="auto"/>
        <w:tabs>
          <w:tab w:leader="none" w:pos="2429"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altering the Purchase Price for any Offering Period including an Offering Period underway at the time of the change in Purchase Price;</w:t>
      </w:r>
    </w:p>
    <w:p>
      <w:pPr>
        <w:spacing w:after="0" w:line="160" w:lineRule="exact"/>
        <w:rPr>
          <w:rFonts w:ascii="Arial" w:cs="Arial" w:eastAsia="Arial" w:hAnsi="Arial"/>
          <w:sz w:val="22"/>
          <w:szCs w:val="22"/>
          <w:color w:val="auto"/>
        </w:rPr>
      </w:pPr>
    </w:p>
    <w:p>
      <w:pPr>
        <w:ind w:right="20" w:firstLine="1953"/>
        <w:spacing w:after="0" w:line="276" w:lineRule="auto"/>
        <w:tabs>
          <w:tab w:leader="none" w:pos="2543" w:val="left"/>
        </w:tabs>
        <w:numPr>
          <w:ilvl w:val="1"/>
          <w:numId w:val="64"/>
        </w:numPr>
        <w:rPr>
          <w:rFonts w:ascii="Arial" w:cs="Arial" w:eastAsia="Arial" w:hAnsi="Arial"/>
          <w:sz w:val="22"/>
          <w:szCs w:val="22"/>
          <w:color w:val="auto"/>
        </w:rPr>
      </w:pPr>
      <w:r>
        <w:rPr>
          <w:rFonts w:ascii="Arial" w:cs="Arial" w:eastAsia="Arial" w:hAnsi="Arial"/>
          <w:sz w:val="22"/>
          <w:szCs w:val="22"/>
          <w:color w:val="auto"/>
        </w:rPr>
        <w:t>shortening any Offering Period so that Offering Period ends on a new Exercise Date, including an Offering Period underway at the time of the Board action;</w:t>
      </w:r>
    </w:p>
    <w:p>
      <w:pPr>
        <w:spacing w:after="0" w:line="160" w:lineRule="exact"/>
        <w:rPr>
          <w:rFonts w:ascii="Arial" w:cs="Arial" w:eastAsia="Arial" w:hAnsi="Arial"/>
          <w:sz w:val="22"/>
          <w:szCs w:val="22"/>
          <w:color w:val="auto"/>
        </w:rPr>
      </w:pPr>
    </w:p>
    <w:p>
      <w:pPr>
        <w:ind w:left="2560" w:hanging="607"/>
        <w:spacing w:after="0"/>
        <w:tabs>
          <w:tab w:leader="none" w:pos="25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reducing the maximum percentage of Compensation a participant may elect to set aside as payroll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deductions; and</w:t>
      </w:r>
    </w:p>
    <w:p>
      <w:pPr>
        <w:spacing w:after="0" w:line="215" w:lineRule="exact"/>
        <w:rPr>
          <w:rFonts w:ascii="Arial" w:cs="Arial" w:eastAsia="Arial" w:hAnsi="Arial"/>
          <w:sz w:val="19"/>
          <w:szCs w:val="19"/>
          <w:color w:val="auto"/>
        </w:rPr>
      </w:pPr>
    </w:p>
    <w:p>
      <w:pPr>
        <w:ind w:left="2480" w:hanging="527"/>
        <w:spacing w:after="0"/>
        <w:tabs>
          <w:tab w:leader="none" w:pos="2480" w:val="left"/>
        </w:tabs>
        <w:numPr>
          <w:ilvl w:val="1"/>
          <w:numId w:val="64"/>
        </w:numPr>
        <w:rPr>
          <w:rFonts w:ascii="Arial" w:cs="Arial" w:eastAsia="Arial" w:hAnsi="Arial"/>
          <w:sz w:val="19"/>
          <w:szCs w:val="19"/>
          <w:color w:val="auto"/>
        </w:rPr>
      </w:pPr>
      <w:r>
        <w:rPr>
          <w:rFonts w:ascii="Arial" w:cs="Arial" w:eastAsia="Arial" w:hAnsi="Arial"/>
          <w:sz w:val="19"/>
          <w:szCs w:val="19"/>
          <w:color w:val="auto"/>
        </w:rPr>
        <w:t>reducing the maximum number of Shares a participant may purchase during any Offering Period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Purchase Period.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Such modifications or amendments will not require stockholder approval or the consent of any Plan participants.</w:t>
      </w:r>
    </w:p>
    <w:p>
      <w:pPr>
        <w:spacing w:after="0" w:line="220" w:lineRule="exact"/>
        <w:rPr>
          <w:sz w:val="20"/>
          <w:szCs w:val="20"/>
          <w:color w:val="auto"/>
        </w:rPr>
      </w:pPr>
    </w:p>
    <w:p>
      <w:pPr>
        <w:jc w:val="both"/>
        <w:ind w:firstLine="656"/>
        <w:spacing w:after="0" w:line="260" w:lineRule="auto"/>
        <w:tabs>
          <w:tab w:leader="none" w:pos="1152"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7" w:lineRule="exact"/>
        <w:rPr>
          <w:rFonts w:ascii="Arial" w:cs="Arial" w:eastAsia="Arial" w:hAnsi="Arial"/>
          <w:sz w:val="22"/>
          <w:szCs w:val="22"/>
          <w:color w:val="auto"/>
        </w:rPr>
      </w:pPr>
    </w:p>
    <w:p>
      <w:pPr>
        <w:jc w:val="both"/>
        <w:ind w:firstLine="656"/>
        <w:spacing w:after="0" w:line="300" w:lineRule="auto"/>
        <w:tabs>
          <w:tab w:leader="none" w:pos="1125"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Conditions Upon Issuance of Shares</w:t>
      </w:r>
      <w:r>
        <w:rPr>
          <w:rFonts w:ascii="Arial" w:cs="Arial" w:eastAsia="Arial" w:hAnsi="Arial"/>
          <w:sz w:val="19"/>
          <w:szCs w:val="19"/>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115" w:name="page116"/>
    <w:bookmarkEnd w:id="115"/>
    <w:p>
      <w:pPr>
        <w:jc w:val="both"/>
        <w:ind w:firstLine="656"/>
        <w:spacing w:after="0" w:line="299" w:lineRule="auto"/>
        <w:tabs>
          <w:tab w:leader="none" w:pos="1125"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The Effective Date of the Plan was June 1, 2007. The Plan was amended and restated effective January 1, 2015 in connection with the assumption of the Plan by Qorvo as a result of the Merger. It will continue in effect for a term of ten</w:t>
      </w:r>
    </w:p>
    <w:p>
      <w:pPr>
        <w:ind w:left="420" w:hanging="412"/>
        <w:spacing w:after="0"/>
        <w:tabs>
          <w:tab w:leader="none" w:pos="4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years from the Effective Date, unless sooner terminated under Section 20.</w:t>
      </w:r>
    </w:p>
    <w:p>
      <w:pPr>
        <w:spacing w:after="0" w:line="201" w:lineRule="exact"/>
        <w:rPr>
          <w:rFonts w:ascii="Arial" w:cs="Arial" w:eastAsia="Arial" w:hAnsi="Arial"/>
          <w:sz w:val="22"/>
          <w:szCs w:val="22"/>
          <w:color w:val="auto"/>
        </w:rPr>
      </w:pPr>
    </w:p>
    <w:p>
      <w:pPr>
        <w:jc w:val="both"/>
        <w:ind w:firstLine="656"/>
        <w:spacing w:after="0" w:line="260" w:lineRule="auto"/>
        <w:tabs>
          <w:tab w:leader="none" w:pos="122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Plan was subject to and received the approval of the stockholders of TriQuint within twelve (12) months after the date the Plan was adopted by the Board. Subsequent stockholder approval will be obtained in the manner and to the degree required under Applicable Laws.</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179"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Automatic Transfer to Low Price Offering Period</w:t>
      </w:r>
      <w:r>
        <w:rPr>
          <w:rFonts w:ascii="Arial" w:cs="Arial" w:eastAsia="Arial" w:hAnsi="Arial"/>
          <w:sz w:val="21"/>
          <w:szCs w:val="21"/>
          <w:color w:val="auto"/>
        </w:rPr>
        <w:t>. To the extent determined by the Administrator and permitted by Applicable Laws, if the Fair Market Value of the Common Stock on any Exercise Date in an Offering Period is lower than the Fair Market Value of the Common Stock on the Offering Date of such Offering Period, then all participants in such Offering Period will be automatically withdrawn from such Offering Period immediately after the exercise of their option on such Exercise Date and automatically re-enrolled in the immediately following Offering Period.</w:t>
      </w:r>
    </w:p>
    <w:p>
      <w:pPr>
        <w:spacing w:after="0" w:line="174" w:lineRule="exact"/>
        <w:rPr>
          <w:rFonts w:ascii="Arial" w:cs="Arial" w:eastAsia="Arial" w:hAnsi="Arial"/>
          <w:sz w:val="21"/>
          <w:szCs w:val="21"/>
          <w:color w:val="auto"/>
        </w:rPr>
      </w:pPr>
    </w:p>
    <w:p>
      <w:pPr>
        <w:ind w:firstLine="656"/>
        <w:spacing w:after="0" w:line="358" w:lineRule="auto"/>
        <w:tabs>
          <w:tab w:leader="none" w:pos="1139"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particular provision of this Plan is found to be invalid or unenforceable, such provision shall not affect the other provisions of the Plan, but the Plan shall be construed in all respects as if such invalid provision had been omitted.</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12"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Code Section 423(b) Component is exempt from the application of Section 409A of the Code. The Non-423(b) Component is intended to be exempt from Section 409A of the Code under the short-term deferral exception and any ambiguities shall be construed and interpreted in accordance with such intent. In the case of a participant who would otherwise be subject to Section 409A of the Code, to the extent an option to purchase Common Stock or the payment, settlement or deferral thereof is subject to Section 409A of the Code, the option to purchase Common Stock shall be granted, paid, exercised, settled or deferred in a manner that will comply with Section 409A of the Code, including the final regulations and other guidance issued with respect thereto, except as otherwise determined by the Administrator. Notwithstanding the foregoing, the Company shall have no liability to a participant or any other party if the option to purchase Common Stock under the Plan that is intended to be exempt from or compliant with Section 409A of the Code is not so exempt or compliant or for any action taken by the Administrator with respect thereto.</w:t>
      </w:r>
    </w:p>
    <w:p>
      <w:pPr>
        <w:spacing w:after="0" w:line="179" w:lineRule="exact"/>
        <w:rPr>
          <w:rFonts w:ascii="Arial" w:cs="Arial" w:eastAsia="Arial" w:hAnsi="Arial"/>
          <w:sz w:val="21"/>
          <w:szCs w:val="21"/>
          <w:color w:val="auto"/>
        </w:rPr>
      </w:pPr>
    </w:p>
    <w:p>
      <w:pPr>
        <w:ind w:firstLine="656"/>
        <w:spacing w:after="0" w:line="276" w:lineRule="auto"/>
        <w:tabs>
          <w:tab w:leader="none" w:pos="1166"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the Plan shall be governed by and construed in accordance with the laws of the State of Delaware, without regard to its conflict of law rules.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22"/>
          <w:szCs w:val="22"/>
          <w:b w:val="1"/>
          <w:bCs w:val="1"/>
          <w:color w:val="auto"/>
        </w:rPr>
        <w:t>QORVO,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DIRECTOR COMPENSATION PROGRAM</w:t>
      </w:r>
    </w:p>
    <w:p>
      <w:pPr>
        <w:spacing w:after="0" w:line="242"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The following is a summary of compensation paid to the directors of Qorvo, Inc. (the “Company”) effective January 1, 2015. For additional information regarding the director compensation, please read the definitive proxy statement relating to the Company’s 2015 annual meeting of stockholders to be filed pursuant to Regulation 14A.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Non-Employee Directors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maintains a non-employee director compensation program pursuant to which our non-employee directors are paid as follows:</w:t>
      </w:r>
    </w:p>
    <w:p>
      <w:pPr>
        <w:spacing w:after="0" w:line="215"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Annual cash retainer of $80,000 payable quarterly in arrears;</w:t>
      </w:r>
    </w:p>
    <w:p>
      <w:pPr>
        <w:spacing w:after="0" w:line="21" w:lineRule="exact"/>
        <w:rPr>
          <w:rFonts w:ascii="Arial" w:cs="Arial" w:eastAsia="Arial" w:hAnsi="Arial"/>
          <w:sz w:val="22"/>
          <w:szCs w:val="22"/>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Additional annual retainer of $58,000 for the Non-Employee Chairman;</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Additional annual retainer of $10,000 for the Lead Director;</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Additional annual retainer for Committee Chairs:</w:t>
      </w:r>
    </w:p>
    <w:p>
      <w:pPr>
        <w:spacing w:after="0" w:line="3" w:lineRule="exact"/>
        <w:rPr>
          <w:rFonts w:ascii="Arial" w:cs="Arial" w:eastAsia="Arial" w:hAnsi="Arial"/>
          <w:sz w:val="22"/>
          <w:szCs w:val="22"/>
          <w:color w:val="auto"/>
        </w:rPr>
      </w:pPr>
    </w:p>
    <w:p>
      <w:pPr>
        <w:ind w:left="1620" w:hanging="315"/>
        <w:spacing w:after="0"/>
        <w:tabs>
          <w:tab w:leader="none" w:pos="16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$20,000 for the Audit Committee Chair;</w:t>
      </w:r>
    </w:p>
    <w:p>
      <w:pPr>
        <w:spacing w:after="0" w:line="3" w:lineRule="exact"/>
        <w:rPr>
          <w:rFonts w:ascii="Arial" w:cs="Arial" w:eastAsia="Arial" w:hAnsi="Arial"/>
          <w:sz w:val="22"/>
          <w:szCs w:val="22"/>
          <w:color w:val="auto"/>
        </w:rPr>
      </w:pPr>
    </w:p>
    <w:p>
      <w:pPr>
        <w:ind w:left="1620" w:hanging="315"/>
        <w:spacing w:after="0"/>
        <w:tabs>
          <w:tab w:leader="none" w:pos="16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$20,000 for the Compensation Committee Chair;</w:t>
      </w:r>
    </w:p>
    <w:p>
      <w:pPr>
        <w:spacing w:after="0" w:line="3" w:lineRule="exact"/>
        <w:rPr>
          <w:rFonts w:ascii="Arial" w:cs="Arial" w:eastAsia="Arial" w:hAnsi="Arial"/>
          <w:sz w:val="22"/>
          <w:szCs w:val="22"/>
          <w:color w:val="auto"/>
        </w:rPr>
      </w:pPr>
    </w:p>
    <w:p>
      <w:pPr>
        <w:ind w:left="1620" w:hanging="315"/>
        <w:spacing w:after="0"/>
        <w:tabs>
          <w:tab w:leader="none" w:pos="16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$10,000 for the Governance and Nominating Committee Chair; and</w:t>
      </w:r>
    </w:p>
    <w:p>
      <w:pPr>
        <w:spacing w:after="0" w:line="3" w:lineRule="exact"/>
        <w:rPr>
          <w:rFonts w:ascii="Arial" w:cs="Arial" w:eastAsia="Arial" w:hAnsi="Arial"/>
          <w:sz w:val="22"/>
          <w:szCs w:val="22"/>
          <w:color w:val="auto"/>
        </w:rPr>
      </w:pPr>
    </w:p>
    <w:p>
      <w:pPr>
        <w:ind w:left="1620" w:hanging="315"/>
        <w:spacing w:after="0"/>
        <w:tabs>
          <w:tab w:leader="none" w:pos="16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$10,000 for the Corporate Development Committee Chair.</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Annual restricted stock unit award, representing shares of Company common stock valued at $170,000.</w:t>
      </w:r>
    </w:p>
    <w:p>
      <w:pPr>
        <w:spacing w:after="0" w:line="24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The annual restricted stock unit awards are granted on the date of the annual stockholders meeting at which directors are elected, with the first award being granted at the 2015 annual stockholders meeting. Each award vests and becomes non-forfeitable as to 100% of the shares subject to the award on the first anniversary of the date of grant, subject to the director’s continued service from the date of grant until the vesting date. Upon the initial election to the Board, a non-employee director is eligible for an initial restricted stock unit award (the “Initial Award”), representing shares of Company common stock valued at $245,000. Each Initial Award vests and becomes non-forfeitable as to one-third (1/3) of the shares subject to the award on each of the first, second and third anniversaries of the date of grant, subject to the director’s continued service from the date of grant until the applicable vesting date. The initial non-employee directors of the Company did not receive an Initial Award due to their prior service as directors of the Company’s predecessor companies.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Directors may defer all or a portion of their cash retainers by participating in our Nonqualified Deferred Compensation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are eligible to participate in our group medical and dental plans.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Directors are reimbursed for customary expenses for attending Board and committee meetings.</w:t>
      </w:r>
    </w:p>
    <w:p>
      <w:pPr>
        <w:sectPr>
          <w:pgSz w:w="11900" w:h="16838" w:orient="portrait"/>
          <w:cols w:equalWidth="0" w:num="1">
            <w:col w:w="11360"/>
          </w:cols>
          <w:pgMar w:left="240" w:top="814" w:right="29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b w:val="1"/>
          <w:bCs w:val="1"/>
          <w:color w:val="auto"/>
        </w:rPr>
        <w:t>Compensation of Directors who are Employees of the Company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Directors who are employees of the Company are not paid for their service as a director.</w:t>
      </w:r>
    </w:p>
    <w:p>
      <w:pPr>
        <w:sectPr>
          <w:pgSz w:w="11900" w:h="16838" w:orient="portrait"/>
          <w:cols w:equalWidth="0" w:num="1">
            <w:col w:w="10219"/>
          </w:cols>
          <w:pgMar w:left="240" w:top="1071" w:right="1440"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QORVO, INC.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NONQUALIFIED DEFERRED COMPENSATION PLAN</w:t>
      </w:r>
    </w:p>
    <w:p>
      <w:pPr>
        <w:sectPr>
          <w:pgSz w:w="11900" w:h="16838" w:orient="portrait"/>
          <w:cols w:equalWidth="0" w:num="1">
            <w:col w:w="9019"/>
          </w:cols>
          <w:pgMar w:left="1440" w:top="1440" w:right="1440"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color w:val="auto"/>
        </w:rPr>
        <w:t>PREAMBLE</w:t>
      </w: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TriQuint Semiconductor, Inc. Nonqualified Deferred Compensation Plan (the “TriQuint Plan”) was adopted by TriQuint Semiconductor, Inc. (“TriQuint”) for the benefit of certain of its Employees and members of its Board of Directors.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a result of the Agreement and Plan of Merger and Reorganization among the Company, TriQuint and RF Micro Devices, Inc. (“RFMD”) dated as of February 22, 2014, as amended, TriQuint and RFMD became wholly-owned subsidiaries of the Company (the “Mergers”).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desires to assume the TriQuint Plan and to amend and restate the TriQuint Plan by the adoption of this Plan effective as of January 1, 2015 (“Effective Date”). The purpose of the Plan is to provide supplemental retirement income and to permit eligible Participants the option to defer receipt of Compensation, pursuant to the terms of the Plan.</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Plan is intended to be an unfunded deferred compensation plan maintained for the benefit of a select group of management or highly compensated employees under sections 201(a)(2), 301(a)(3) and 401(a)(1) of ERISA. Participants shall have the status of unsecured creditors of the Company with respect to the payment of Plan benefits.</w:t>
      </w:r>
    </w:p>
    <w:p>
      <w:pPr>
        <w:sectPr>
          <w:pgSz w:w="11900" w:h="16838" w:orient="portrait"/>
          <w:cols w:equalWidth="0" w:num="1">
            <w:col w:w="11420"/>
          </w:cols>
          <w:pgMar w:left="240" w:top="625" w:right="239" w:bottom="1440" w:gutter="0" w:footer="0" w:header="0"/>
        </w:sectPr>
      </w:pPr>
    </w:p>
    <w:bookmarkStart w:id="120" w:name="page121"/>
    <w:bookmarkEnd w:id="120"/>
    <w:p>
      <w:pPr>
        <w:ind w:left="46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9"/>
              </w:rPr>
              <w:t>Page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182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I</w:t>
            </w:r>
          </w:p>
        </w:tc>
        <w:tc>
          <w:tcPr>
            <w:tcW w:w="8100" w:type="dxa"/>
            <w:vAlign w:val="bottom"/>
            <w:gridSpan w:val="25"/>
          </w:tcPr>
          <w:p>
            <w:pPr>
              <w:spacing w:after="0"/>
              <w:rPr>
                <w:sz w:val="20"/>
                <w:szCs w:val="20"/>
                <w:color w:val="auto"/>
              </w:rPr>
            </w:pPr>
            <w:r>
              <w:rPr>
                <w:rFonts w:ascii="Arial" w:cs="Arial" w:eastAsia="Arial" w:hAnsi="Arial"/>
                <w:sz w:val="22"/>
                <w:szCs w:val="22"/>
                <w:color w:val="auto"/>
              </w:rPr>
              <w:t>DEFINITIONS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1.1</w:t>
            </w:r>
          </w:p>
        </w:tc>
        <w:tc>
          <w:tcPr>
            <w:tcW w:w="980" w:type="dxa"/>
            <w:vAlign w:val="bottom"/>
            <w:tcBorders>
              <w:bottom w:val="single" w:sz="8" w:color="auto"/>
            </w:tcBorders>
            <w:gridSpan w:val="4"/>
          </w:tcPr>
          <w:p>
            <w:pPr>
              <w:spacing w:after="0" w:line="246" w:lineRule="exact"/>
              <w:rPr>
                <w:sz w:val="20"/>
                <w:szCs w:val="20"/>
                <w:color w:val="auto"/>
              </w:rPr>
            </w:pPr>
            <w:r>
              <w:rPr>
                <w:rFonts w:ascii="Arial" w:cs="Arial" w:eastAsia="Arial" w:hAnsi="Arial"/>
                <w:sz w:val="22"/>
                <w:szCs w:val="22"/>
                <w:color w:val="auto"/>
                <w:w w:val="93"/>
              </w:rPr>
              <w:t>Definitions</w:t>
            </w:r>
          </w:p>
        </w:tc>
        <w:tc>
          <w:tcPr>
            <w:tcW w:w="7120" w:type="dxa"/>
            <w:vAlign w:val="bottom"/>
            <w:gridSpan w:val="21"/>
          </w:tcPr>
          <w:p>
            <w:pPr>
              <w:spacing w:after="0"/>
              <w:rPr>
                <w:sz w:val="21"/>
                <w:szCs w:val="21"/>
                <w:color w:val="auto"/>
              </w:rPr>
            </w:pP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328"/>
        </w:trPr>
        <w:tc>
          <w:tcPr>
            <w:tcW w:w="182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II</w:t>
            </w:r>
          </w:p>
        </w:tc>
        <w:tc>
          <w:tcPr>
            <w:tcW w:w="8100" w:type="dxa"/>
            <w:vAlign w:val="bottom"/>
            <w:gridSpan w:val="25"/>
          </w:tcPr>
          <w:p>
            <w:pPr>
              <w:spacing w:after="0"/>
              <w:rPr>
                <w:sz w:val="20"/>
                <w:szCs w:val="20"/>
                <w:color w:val="auto"/>
              </w:rPr>
            </w:pPr>
            <w:r>
              <w:rPr>
                <w:rFonts w:ascii="Arial" w:cs="Arial" w:eastAsia="Arial" w:hAnsi="Arial"/>
                <w:sz w:val="22"/>
                <w:szCs w:val="22"/>
                <w:color w:val="auto"/>
              </w:rPr>
              <w:t>PARTICIPATION</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2.1</w:t>
            </w:r>
          </w:p>
        </w:tc>
        <w:tc>
          <w:tcPr>
            <w:tcW w:w="8100" w:type="dxa"/>
            <w:vAlign w:val="bottom"/>
            <w:gridSpan w:val="25"/>
          </w:tcPr>
          <w:p>
            <w:pPr>
              <w:spacing w:after="0" w:line="246" w:lineRule="exact"/>
              <w:rPr>
                <w:sz w:val="20"/>
                <w:szCs w:val="20"/>
                <w:color w:val="auto"/>
              </w:rPr>
            </w:pPr>
            <w:r>
              <w:rPr>
                <w:rFonts w:ascii="Arial" w:cs="Arial" w:eastAsia="Arial" w:hAnsi="Arial"/>
                <w:sz w:val="22"/>
                <w:szCs w:val="22"/>
                <w:color w:val="auto"/>
              </w:rPr>
              <w:t>Date of Participation</w:t>
            </w: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2.2</w:t>
            </w:r>
          </w:p>
        </w:tc>
        <w:tc>
          <w:tcPr>
            <w:tcW w:w="8100" w:type="dxa"/>
            <w:vAlign w:val="bottom"/>
            <w:gridSpan w:val="25"/>
          </w:tcPr>
          <w:p>
            <w:pPr>
              <w:spacing w:after="0"/>
              <w:rPr>
                <w:sz w:val="20"/>
                <w:szCs w:val="20"/>
                <w:color w:val="auto"/>
              </w:rPr>
            </w:pPr>
            <w:r>
              <w:rPr>
                <w:rFonts w:ascii="Arial" w:cs="Arial" w:eastAsia="Arial" w:hAnsi="Arial"/>
                <w:sz w:val="22"/>
                <w:szCs w:val="22"/>
                <w:color w:val="auto"/>
              </w:rPr>
              <w:t>Resumption of Participation Following Return to Service</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2.3</w:t>
            </w:r>
          </w:p>
        </w:tc>
        <w:tc>
          <w:tcPr>
            <w:tcW w:w="2640" w:type="dxa"/>
            <w:vAlign w:val="bottom"/>
            <w:tcBorders>
              <w:top w:val="single" w:sz="8" w:color="auto"/>
              <w:bottom w:val="single" w:sz="8" w:color="auto"/>
            </w:tcBorders>
            <w:gridSpan w:val="14"/>
          </w:tcPr>
          <w:p>
            <w:pPr>
              <w:spacing w:after="0"/>
              <w:rPr>
                <w:sz w:val="20"/>
                <w:szCs w:val="20"/>
                <w:color w:val="auto"/>
              </w:rPr>
            </w:pPr>
            <w:r>
              <w:rPr>
                <w:rFonts w:ascii="Arial" w:cs="Arial" w:eastAsia="Arial" w:hAnsi="Arial"/>
                <w:sz w:val="22"/>
                <w:szCs w:val="22"/>
                <w:color w:val="auto"/>
                <w:w w:val="88"/>
              </w:rPr>
              <w:t>Change in Employment Status</w:t>
            </w:r>
          </w:p>
        </w:tc>
        <w:tc>
          <w:tcPr>
            <w:tcW w:w="2300" w:type="dxa"/>
            <w:vAlign w:val="bottom"/>
            <w:tcBorders>
              <w:top w:val="single" w:sz="8" w:color="auto"/>
            </w:tcBorders>
            <w:gridSpan w:val="7"/>
          </w:tcPr>
          <w:p>
            <w:pPr>
              <w:spacing w:after="0"/>
              <w:rPr>
                <w:sz w:val="24"/>
                <w:szCs w:val="24"/>
                <w:color w:val="auto"/>
              </w:rPr>
            </w:pPr>
          </w:p>
        </w:tc>
        <w:tc>
          <w:tcPr>
            <w:tcW w:w="3160" w:type="dxa"/>
            <w:vAlign w:val="bottom"/>
            <w:gridSpan w:val="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328"/>
        </w:trPr>
        <w:tc>
          <w:tcPr>
            <w:tcW w:w="182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III</w:t>
            </w:r>
          </w:p>
        </w:tc>
        <w:tc>
          <w:tcPr>
            <w:tcW w:w="8100" w:type="dxa"/>
            <w:vAlign w:val="bottom"/>
            <w:gridSpan w:val="25"/>
          </w:tcPr>
          <w:p>
            <w:pPr>
              <w:spacing w:after="0"/>
              <w:rPr>
                <w:sz w:val="20"/>
                <w:szCs w:val="20"/>
                <w:color w:val="auto"/>
              </w:rPr>
            </w:pPr>
            <w:r>
              <w:rPr>
                <w:rFonts w:ascii="Arial" w:cs="Arial" w:eastAsia="Arial" w:hAnsi="Arial"/>
                <w:sz w:val="22"/>
                <w:szCs w:val="22"/>
                <w:color w:val="auto"/>
              </w:rPr>
              <w:t>CONTRIBUTIONS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3.1</w:t>
            </w:r>
          </w:p>
        </w:tc>
        <w:tc>
          <w:tcPr>
            <w:tcW w:w="8100" w:type="dxa"/>
            <w:vAlign w:val="bottom"/>
            <w:gridSpan w:val="25"/>
          </w:tcPr>
          <w:p>
            <w:pPr>
              <w:spacing w:after="0" w:line="246" w:lineRule="exact"/>
              <w:rPr>
                <w:sz w:val="20"/>
                <w:szCs w:val="20"/>
                <w:color w:val="auto"/>
              </w:rPr>
            </w:pPr>
            <w:r>
              <w:rPr>
                <w:rFonts w:ascii="Arial" w:cs="Arial" w:eastAsia="Arial" w:hAnsi="Arial"/>
                <w:sz w:val="22"/>
                <w:szCs w:val="22"/>
                <w:color w:val="auto"/>
              </w:rPr>
              <w:t>Deferral Contributions</w:t>
            </w: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3.2</w:t>
            </w: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w w:val="88"/>
              </w:rPr>
              <w:t>Accounts</w:t>
            </w:r>
          </w:p>
        </w:tc>
        <w:tc>
          <w:tcPr>
            <w:tcW w:w="1140" w:type="dxa"/>
            <w:vAlign w:val="bottom"/>
            <w:tcBorders>
              <w:top w:val="single" w:sz="8" w:color="auto"/>
            </w:tcBorders>
            <w:gridSpan w:val="9"/>
          </w:tcPr>
          <w:p>
            <w:pPr>
              <w:spacing w:after="0"/>
              <w:rPr>
                <w:sz w:val="24"/>
                <w:szCs w:val="24"/>
                <w:color w:val="auto"/>
              </w:rPr>
            </w:pPr>
          </w:p>
        </w:tc>
        <w:tc>
          <w:tcPr>
            <w:tcW w:w="6140" w:type="dxa"/>
            <w:vAlign w:val="bottom"/>
            <w:gridSpan w:val="1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328"/>
        </w:trPr>
        <w:tc>
          <w:tcPr>
            <w:tcW w:w="182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VI</w:t>
            </w:r>
          </w:p>
        </w:tc>
        <w:tc>
          <w:tcPr>
            <w:tcW w:w="8100" w:type="dxa"/>
            <w:vAlign w:val="bottom"/>
            <w:gridSpan w:val="25"/>
          </w:tcPr>
          <w:p>
            <w:pPr>
              <w:spacing w:after="0"/>
              <w:rPr>
                <w:sz w:val="20"/>
                <w:szCs w:val="20"/>
                <w:color w:val="auto"/>
              </w:rPr>
            </w:pPr>
            <w:r>
              <w:rPr>
                <w:rFonts w:ascii="Arial" w:cs="Arial" w:eastAsia="Arial" w:hAnsi="Arial"/>
                <w:sz w:val="22"/>
                <w:szCs w:val="22"/>
                <w:color w:val="auto"/>
              </w:rPr>
              <w:t>PARTICIPANTS' ACCOUNTS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4.1</w:t>
            </w:r>
          </w:p>
        </w:tc>
        <w:tc>
          <w:tcPr>
            <w:tcW w:w="8100" w:type="dxa"/>
            <w:vAlign w:val="bottom"/>
            <w:gridSpan w:val="25"/>
          </w:tcPr>
          <w:p>
            <w:pPr>
              <w:spacing w:after="0" w:line="246" w:lineRule="exact"/>
              <w:rPr>
                <w:sz w:val="20"/>
                <w:szCs w:val="20"/>
                <w:color w:val="auto"/>
              </w:rPr>
            </w:pPr>
            <w:r>
              <w:rPr>
                <w:rFonts w:ascii="Arial" w:cs="Arial" w:eastAsia="Arial" w:hAnsi="Arial"/>
                <w:sz w:val="22"/>
                <w:szCs w:val="22"/>
                <w:color w:val="auto"/>
              </w:rPr>
              <w:t>Individual Accounts</w:t>
            </w: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82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ARTICLE V</w:t>
            </w:r>
          </w:p>
        </w:tc>
        <w:tc>
          <w:tcPr>
            <w:tcW w:w="5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20" w:type="dxa"/>
            <w:vAlign w:val="bottom"/>
            <w:vMerge w:val="continue"/>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2"/>
                <w:szCs w:val="22"/>
                <w:color w:val="auto"/>
              </w:rPr>
              <w:t>INVESTMENT OF CONTRIBUTIONS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5.1</w:t>
            </w:r>
          </w:p>
        </w:tc>
        <w:tc>
          <w:tcPr>
            <w:tcW w:w="8100" w:type="dxa"/>
            <w:vAlign w:val="bottom"/>
            <w:gridSpan w:val="25"/>
          </w:tcPr>
          <w:p>
            <w:pPr>
              <w:spacing w:after="0" w:line="246" w:lineRule="exact"/>
              <w:rPr>
                <w:sz w:val="20"/>
                <w:szCs w:val="20"/>
                <w:color w:val="auto"/>
              </w:rPr>
            </w:pPr>
            <w:r>
              <w:rPr>
                <w:rFonts w:ascii="Arial" w:cs="Arial" w:eastAsia="Arial" w:hAnsi="Arial"/>
                <w:sz w:val="22"/>
                <w:szCs w:val="22"/>
                <w:color w:val="auto"/>
              </w:rPr>
              <w:t>Manner of Investment</w:t>
            </w: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5.2</w:t>
            </w:r>
          </w:p>
        </w:tc>
        <w:tc>
          <w:tcPr>
            <w:tcW w:w="192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w w:val="90"/>
              </w:rPr>
              <w:t>Investment Decisions</w:t>
            </w:r>
          </w:p>
        </w:tc>
        <w:tc>
          <w:tcPr>
            <w:tcW w:w="6180" w:type="dxa"/>
            <w:vAlign w:val="bottom"/>
            <w:gridSpan w:val="1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5.3</w:t>
            </w:r>
          </w:p>
        </w:tc>
        <w:tc>
          <w:tcPr>
            <w:tcW w:w="5320" w:type="dxa"/>
            <w:vAlign w:val="bottom"/>
            <w:tcBorders>
              <w:bottom w:val="single" w:sz="8" w:color="auto"/>
            </w:tcBorders>
            <w:gridSpan w:val="23"/>
          </w:tcPr>
          <w:p>
            <w:pPr>
              <w:spacing w:after="0"/>
              <w:rPr>
                <w:sz w:val="20"/>
                <w:szCs w:val="20"/>
                <w:color w:val="auto"/>
              </w:rPr>
            </w:pPr>
            <w:r>
              <w:rPr>
                <w:rFonts w:ascii="Arial" w:cs="Arial" w:eastAsia="Arial" w:hAnsi="Arial"/>
                <w:sz w:val="22"/>
                <w:szCs w:val="22"/>
                <w:color w:val="auto"/>
                <w:w w:val="89"/>
              </w:rPr>
              <w:t>Investment Gains or Losses Upon an Installment Distribution</w:t>
            </w:r>
          </w:p>
        </w:tc>
        <w:tc>
          <w:tcPr>
            <w:tcW w:w="2780" w:type="dxa"/>
            <w:vAlign w:val="bottom"/>
            <w:gridSpan w:val="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328"/>
        </w:trPr>
        <w:tc>
          <w:tcPr>
            <w:tcW w:w="182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VI</w:t>
            </w:r>
          </w:p>
        </w:tc>
        <w:tc>
          <w:tcPr>
            <w:tcW w:w="8100" w:type="dxa"/>
            <w:vAlign w:val="bottom"/>
            <w:gridSpan w:val="25"/>
          </w:tcPr>
          <w:p>
            <w:pPr>
              <w:spacing w:after="0"/>
              <w:rPr>
                <w:sz w:val="20"/>
                <w:szCs w:val="20"/>
                <w:color w:val="auto"/>
              </w:rPr>
            </w:pPr>
            <w:r>
              <w:rPr>
                <w:rFonts w:ascii="Arial" w:cs="Arial" w:eastAsia="Arial" w:hAnsi="Arial"/>
                <w:sz w:val="22"/>
                <w:szCs w:val="22"/>
                <w:color w:val="auto"/>
              </w:rPr>
              <w:t>DISTRIBUTIONS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6.1</w:t>
            </w:r>
          </w:p>
        </w:tc>
        <w:tc>
          <w:tcPr>
            <w:tcW w:w="8100" w:type="dxa"/>
            <w:vAlign w:val="bottom"/>
            <w:gridSpan w:val="25"/>
          </w:tcPr>
          <w:p>
            <w:pPr>
              <w:spacing w:after="0" w:line="246" w:lineRule="exact"/>
              <w:rPr>
                <w:sz w:val="20"/>
                <w:szCs w:val="20"/>
                <w:color w:val="auto"/>
              </w:rPr>
            </w:pPr>
            <w:r>
              <w:rPr>
                <w:rFonts w:ascii="Arial" w:cs="Arial" w:eastAsia="Arial" w:hAnsi="Arial"/>
                <w:sz w:val="22"/>
                <w:szCs w:val="22"/>
                <w:color w:val="auto"/>
              </w:rPr>
              <w:t>Distributions to Participants and Beneficiaries</w:t>
            </w: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6.2</w:t>
            </w:r>
          </w:p>
        </w:tc>
        <w:tc>
          <w:tcPr>
            <w:tcW w:w="3900" w:type="dxa"/>
            <w:vAlign w:val="bottom"/>
            <w:tcBorders>
              <w:top w:val="single" w:sz="8" w:color="auto"/>
              <w:bottom w:val="single" w:sz="8" w:color="auto"/>
            </w:tcBorders>
            <w:gridSpan w:val="17"/>
          </w:tcPr>
          <w:p>
            <w:pPr>
              <w:spacing w:after="0"/>
              <w:rPr>
                <w:sz w:val="20"/>
                <w:szCs w:val="20"/>
                <w:color w:val="auto"/>
              </w:rPr>
            </w:pPr>
            <w:r>
              <w:rPr>
                <w:rFonts w:ascii="Arial" w:cs="Arial" w:eastAsia="Arial" w:hAnsi="Arial"/>
                <w:sz w:val="22"/>
                <w:szCs w:val="22"/>
                <w:color w:val="auto"/>
                <w:w w:val="91"/>
              </w:rPr>
              <w:t>Distributions Following a Change of Control</w:t>
            </w:r>
          </w:p>
        </w:tc>
        <w:tc>
          <w:tcPr>
            <w:tcW w:w="80" w:type="dxa"/>
            <w:vAlign w:val="bottom"/>
            <w:tcBorders>
              <w:top w:val="single" w:sz="8" w:color="auto"/>
            </w:tcBorders>
          </w:tcPr>
          <w:p>
            <w:pPr>
              <w:spacing w:after="0"/>
              <w:rPr>
                <w:sz w:val="24"/>
                <w:szCs w:val="24"/>
                <w:color w:val="auto"/>
              </w:rPr>
            </w:pPr>
          </w:p>
        </w:tc>
        <w:tc>
          <w:tcPr>
            <w:tcW w:w="4120" w:type="dxa"/>
            <w:vAlign w:val="bottom"/>
            <w:gridSpan w:val="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6.3</w:t>
            </w:r>
          </w:p>
        </w:tc>
        <w:tc>
          <w:tcPr>
            <w:tcW w:w="8100" w:type="dxa"/>
            <w:vAlign w:val="bottom"/>
            <w:gridSpan w:val="25"/>
          </w:tcPr>
          <w:p>
            <w:pPr>
              <w:spacing w:after="0"/>
              <w:rPr>
                <w:sz w:val="20"/>
                <w:szCs w:val="20"/>
                <w:color w:val="auto"/>
              </w:rPr>
            </w:pPr>
            <w:r>
              <w:rPr>
                <w:rFonts w:ascii="Arial" w:cs="Arial" w:eastAsia="Arial" w:hAnsi="Arial"/>
                <w:sz w:val="22"/>
                <w:szCs w:val="22"/>
                <w:color w:val="auto"/>
              </w:rPr>
              <w:t>Distributions Due to an Unforseeable Emergency</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6.4</w:t>
            </w:r>
          </w:p>
        </w:tc>
        <w:tc>
          <w:tcPr>
            <w:tcW w:w="2960" w:type="dxa"/>
            <w:vAlign w:val="bottom"/>
            <w:tcBorders>
              <w:top w:val="single" w:sz="8" w:color="auto"/>
              <w:bottom w:val="single" w:sz="8" w:color="auto"/>
            </w:tcBorders>
            <w:gridSpan w:val="15"/>
          </w:tcPr>
          <w:p>
            <w:pPr>
              <w:spacing w:after="0"/>
              <w:rPr>
                <w:sz w:val="20"/>
                <w:szCs w:val="20"/>
                <w:color w:val="auto"/>
              </w:rPr>
            </w:pPr>
            <w:r>
              <w:rPr>
                <w:rFonts w:ascii="Arial" w:cs="Arial" w:eastAsia="Arial" w:hAnsi="Arial"/>
                <w:sz w:val="22"/>
                <w:szCs w:val="22"/>
                <w:color w:val="auto"/>
                <w:w w:val="90"/>
              </w:rPr>
              <w:t>Scheduled In-Service Distribution</w:t>
            </w:r>
          </w:p>
        </w:tc>
        <w:tc>
          <w:tcPr>
            <w:tcW w:w="1300" w:type="dxa"/>
            <w:vAlign w:val="bottom"/>
            <w:tcBorders>
              <w:top w:val="single" w:sz="8" w:color="auto"/>
            </w:tcBorders>
            <w:gridSpan w:val="4"/>
          </w:tcPr>
          <w:p>
            <w:pPr>
              <w:spacing w:after="0"/>
              <w:rPr>
                <w:sz w:val="24"/>
                <w:szCs w:val="24"/>
                <w:color w:val="auto"/>
              </w:rPr>
            </w:pPr>
          </w:p>
        </w:tc>
        <w:tc>
          <w:tcPr>
            <w:tcW w:w="3840" w:type="dxa"/>
            <w:vAlign w:val="bottom"/>
            <w:gridSpan w:val="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6.5</w:t>
            </w:r>
          </w:p>
        </w:tc>
        <w:tc>
          <w:tcPr>
            <w:tcW w:w="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Death</w:t>
            </w:r>
          </w:p>
        </w:tc>
        <w:tc>
          <w:tcPr>
            <w:tcW w:w="7580" w:type="dxa"/>
            <w:vAlign w:val="bottom"/>
            <w:gridSpan w:val="24"/>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6.6</w:t>
            </w: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5"/>
              </w:rPr>
              <w:t>Disability</w:t>
            </w:r>
          </w:p>
        </w:tc>
        <w:tc>
          <w:tcPr>
            <w:tcW w:w="7240" w:type="dxa"/>
            <w:vAlign w:val="bottom"/>
            <w:gridSpan w:val="2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6.7</w:t>
            </w:r>
          </w:p>
        </w:tc>
        <w:tc>
          <w:tcPr>
            <w:tcW w:w="8100" w:type="dxa"/>
            <w:vAlign w:val="bottom"/>
            <w:gridSpan w:val="25"/>
          </w:tcPr>
          <w:p>
            <w:pPr>
              <w:spacing w:after="0"/>
              <w:rPr>
                <w:sz w:val="20"/>
                <w:szCs w:val="20"/>
                <w:color w:val="auto"/>
              </w:rPr>
            </w:pPr>
            <w:r>
              <w:rPr>
                <w:rFonts w:ascii="Arial" w:cs="Arial" w:eastAsia="Arial" w:hAnsi="Arial"/>
                <w:sz w:val="22"/>
                <w:szCs w:val="22"/>
                <w:color w:val="auto"/>
              </w:rPr>
              <w:t>Permitted Acceleration</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6.8</w:t>
            </w:r>
          </w:p>
        </w:tc>
        <w:tc>
          <w:tcPr>
            <w:tcW w:w="15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8"/>
              </w:rPr>
              <w:t>Notice to Trustee</w:t>
            </w:r>
          </w:p>
        </w:tc>
        <w:tc>
          <w:tcPr>
            <w:tcW w:w="500" w:type="dxa"/>
            <w:vAlign w:val="bottom"/>
            <w:tcBorders>
              <w:top w:val="single" w:sz="8" w:color="auto"/>
            </w:tcBorders>
            <w:gridSpan w:val="6"/>
          </w:tcPr>
          <w:p>
            <w:pPr>
              <w:spacing w:after="0"/>
              <w:rPr>
                <w:sz w:val="24"/>
                <w:szCs w:val="24"/>
                <w:color w:val="auto"/>
              </w:rPr>
            </w:pPr>
          </w:p>
        </w:tc>
        <w:tc>
          <w:tcPr>
            <w:tcW w:w="6100" w:type="dxa"/>
            <w:vAlign w:val="bottom"/>
            <w:gridSpan w:val="1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6.9</w:t>
            </w:r>
          </w:p>
        </w:tc>
        <w:tc>
          <w:tcPr>
            <w:tcW w:w="8100" w:type="dxa"/>
            <w:vAlign w:val="bottom"/>
            <w:gridSpan w:val="25"/>
          </w:tcPr>
          <w:p>
            <w:pPr>
              <w:spacing w:after="0"/>
              <w:rPr>
                <w:sz w:val="20"/>
                <w:szCs w:val="20"/>
                <w:color w:val="auto"/>
              </w:rPr>
            </w:pPr>
            <w:r>
              <w:rPr>
                <w:rFonts w:ascii="Arial" w:cs="Arial" w:eastAsia="Arial" w:hAnsi="Arial"/>
                <w:sz w:val="22"/>
                <w:szCs w:val="22"/>
                <w:color w:val="auto"/>
              </w:rPr>
              <w:t>Time of Distribution</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6.10</w:t>
            </w:r>
          </w:p>
        </w:tc>
        <w:tc>
          <w:tcPr>
            <w:tcW w:w="8100" w:type="dxa"/>
            <w:vAlign w:val="bottom"/>
            <w:gridSpan w:val="25"/>
          </w:tcPr>
          <w:p>
            <w:pPr>
              <w:spacing w:after="0"/>
              <w:rPr>
                <w:sz w:val="20"/>
                <w:szCs w:val="20"/>
                <w:color w:val="auto"/>
              </w:rPr>
            </w:pPr>
            <w:r>
              <w:rPr>
                <w:rFonts w:ascii="Arial" w:cs="Arial" w:eastAsia="Arial" w:hAnsi="Arial"/>
                <w:sz w:val="22"/>
                <w:szCs w:val="22"/>
                <w:color w:val="auto"/>
              </w:rPr>
              <w:t>Limitation on Distributions to Covered Employees Prior to a Change of Control</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6.11</w:t>
            </w:r>
          </w:p>
        </w:tc>
        <w:tc>
          <w:tcPr>
            <w:tcW w:w="6900" w:type="dxa"/>
            <w:vAlign w:val="bottom"/>
            <w:tcBorders>
              <w:top w:val="single" w:sz="8" w:color="auto"/>
            </w:tcBorders>
            <w:gridSpan w:val="24"/>
          </w:tcPr>
          <w:p>
            <w:pPr>
              <w:spacing w:after="0"/>
              <w:rPr>
                <w:sz w:val="20"/>
                <w:szCs w:val="20"/>
                <w:color w:val="auto"/>
              </w:rPr>
            </w:pPr>
            <w:r>
              <w:rPr>
                <w:rFonts w:ascii="Arial" w:cs="Arial" w:eastAsia="Arial" w:hAnsi="Arial"/>
                <w:sz w:val="22"/>
                <w:szCs w:val="22"/>
                <w:color w:val="auto"/>
              </w:rPr>
              <w:t>Delays in Distribution</w:t>
            </w:r>
          </w:p>
        </w:tc>
        <w:tc>
          <w:tcPr>
            <w:tcW w:w="12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6.12</w:t>
            </w:r>
          </w:p>
        </w:tc>
        <w:tc>
          <w:tcPr>
            <w:tcW w:w="192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Tax Withholding</w:t>
            </w:r>
          </w:p>
        </w:tc>
        <w:tc>
          <w:tcPr>
            <w:tcW w:w="6180" w:type="dxa"/>
            <w:vAlign w:val="bottom"/>
            <w:gridSpan w:val="1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0"/>
        </w:trPr>
        <w:tc>
          <w:tcPr>
            <w:tcW w:w="182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ARTICLE VII</w:t>
            </w:r>
          </w:p>
        </w:tc>
        <w:tc>
          <w:tcPr>
            <w:tcW w:w="146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820" w:type="dxa"/>
            <w:vAlign w:val="bottom"/>
            <w:vMerge w:val="continue"/>
          </w:tcPr>
          <w:p>
            <w:pPr>
              <w:spacing w:after="0"/>
              <w:rPr>
                <w:sz w:val="24"/>
                <w:szCs w:val="24"/>
                <w:color w:val="auto"/>
              </w:rPr>
            </w:pPr>
          </w:p>
        </w:tc>
        <w:tc>
          <w:tcPr>
            <w:tcW w:w="8100" w:type="dxa"/>
            <w:vAlign w:val="bottom"/>
            <w:gridSpan w:val="25"/>
          </w:tcPr>
          <w:p>
            <w:pPr>
              <w:spacing w:after="0"/>
              <w:rPr>
                <w:sz w:val="20"/>
                <w:szCs w:val="20"/>
                <w:color w:val="auto"/>
              </w:rPr>
            </w:pPr>
            <w:r>
              <w:rPr>
                <w:rFonts w:ascii="Arial" w:cs="Arial" w:eastAsia="Arial" w:hAnsi="Arial"/>
                <w:sz w:val="22"/>
                <w:szCs w:val="22"/>
                <w:color w:val="auto"/>
              </w:rPr>
              <w:t>SPECIAL CHANGE OF CONTROL PROVISIONS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7.1</w:t>
            </w:r>
          </w:p>
        </w:tc>
        <w:tc>
          <w:tcPr>
            <w:tcW w:w="8100" w:type="dxa"/>
            <w:vAlign w:val="bottom"/>
            <w:gridSpan w:val="25"/>
          </w:tcPr>
          <w:p>
            <w:pPr>
              <w:spacing w:after="0" w:line="246" w:lineRule="exact"/>
              <w:rPr>
                <w:sz w:val="20"/>
                <w:szCs w:val="20"/>
                <w:color w:val="auto"/>
              </w:rPr>
            </w:pPr>
            <w:r>
              <w:rPr>
                <w:rFonts w:ascii="Arial" w:cs="Arial" w:eastAsia="Arial" w:hAnsi="Arial"/>
                <w:sz w:val="22"/>
                <w:szCs w:val="22"/>
                <w:color w:val="auto"/>
              </w:rPr>
              <w:t>No New Participants Following Change of Control</w:t>
            </w: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7.2</w:t>
            </w:r>
          </w:p>
        </w:tc>
        <w:tc>
          <w:tcPr>
            <w:tcW w:w="3880" w:type="dxa"/>
            <w:vAlign w:val="bottom"/>
            <w:tcBorders>
              <w:top w:val="single" w:sz="8" w:color="auto"/>
              <w:bottom w:val="single" w:sz="8" w:color="auto"/>
            </w:tcBorders>
            <w:gridSpan w:val="16"/>
          </w:tcPr>
          <w:p>
            <w:pPr>
              <w:spacing w:after="0"/>
              <w:rPr>
                <w:sz w:val="20"/>
                <w:szCs w:val="20"/>
                <w:color w:val="auto"/>
              </w:rPr>
            </w:pPr>
            <w:r>
              <w:rPr>
                <w:rFonts w:ascii="Arial" w:cs="Arial" w:eastAsia="Arial" w:hAnsi="Arial"/>
                <w:sz w:val="22"/>
                <w:szCs w:val="22"/>
                <w:color w:val="auto"/>
                <w:w w:val="90"/>
              </w:rPr>
              <w:t>No Deferrals Following a Change of Control</w:t>
            </w:r>
          </w:p>
        </w:tc>
        <w:tc>
          <w:tcPr>
            <w:tcW w:w="520" w:type="dxa"/>
            <w:vAlign w:val="bottom"/>
            <w:tcBorders>
              <w:top w:val="single" w:sz="8" w:color="auto"/>
            </w:tcBorders>
            <w:gridSpan w:val="4"/>
          </w:tcPr>
          <w:p>
            <w:pPr>
              <w:spacing w:after="0"/>
              <w:rPr>
                <w:sz w:val="24"/>
                <w:szCs w:val="24"/>
                <w:color w:val="auto"/>
              </w:rPr>
            </w:pPr>
          </w:p>
        </w:tc>
        <w:tc>
          <w:tcPr>
            <w:tcW w:w="3700" w:type="dxa"/>
            <w:vAlign w:val="bottom"/>
            <w:gridSpan w:val="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328"/>
        </w:trPr>
        <w:tc>
          <w:tcPr>
            <w:tcW w:w="182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VIII</w:t>
            </w:r>
          </w:p>
        </w:tc>
        <w:tc>
          <w:tcPr>
            <w:tcW w:w="8100" w:type="dxa"/>
            <w:vAlign w:val="bottom"/>
            <w:gridSpan w:val="25"/>
          </w:tcPr>
          <w:p>
            <w:pPr>
              <w:spacing w:after="0"/>
              <w:rPr>
                <w:sz w:val="20"/>
                <w:szCs w:val="20"/>
                <w:color w:val="auto"/>
              </w:rPr>
            </w:pPr>
            <w:r>
              <w:rPr>
                <w:rFonts w:ascii="Arial" w:cs="Arial" w:eastAsia="Arial" w:hAnsi="Arial"/>
                <w:sz w:val="22"/>
                <w:szCs w:val="22"/>
                <w:color w:val="auto"/>
              </w:rPr>
              <w:t>AMENDMENT AND TERMINATION</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7"/>
        </w:trPr>
        <w:tc>
          <w:tcPr>
            <w:tcW w:w="182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8.1</w:t>
            </w:r>
          </w:p>
        </w:tc>
        <w:tc>
          <w:tcPr>
            <w:tcW w:w="4960" w:type="dxa"/>
            <w:vAlign w:val="bottom"/>
            <w:tcBorders>
              <w:bottom w:val="single" w:sz="8" w:color="auto"/>
            </w:tcBorders>
            <w:gridSpan w:val="22"/>
          </w:tcPr>
          <w:p>
            <w:pPr>
              <w:spacing w:after="0" w:line="246" w:lineRule="exact"/>
              <w:rPr>
                <w:sz w:val="20"/>
                <w:szCs w:val="20"/>
                <w:color w:val="auto"/>
              </w:rPr>
            </w:pPr>
            <w:r>
              <w:rPr>
                <w:rFonts w:ascii="Arial" w:cs="Arial" w:eastAsia="Arial" w:hAnsi="Arial"/>
                <w:sz w:val="22"/>
                <w:szCs w:val="22"/>
                <w:color w:val="auto"/>
                <w:w w:val="89"/>
              </w:rPr>
              <w:t>Amendment Prior to and on and After Change of Control</w:t>
            </w:r>
          </w:p>
        </w:tc>
        <w:tc>
          <w:tcPr>
            <w:tcW w:w="3140" w:type="dxa"/>
            <w:vAlign w:val="bottom"/>
            <w:gridSpan w:val="3"/>
          </w:tcPr>
          <w:p>
            <w:pPr>
              <w:spacing w:after="0"/>
              <w:rPr>
                <w:sz w:val="21"/>
                <w:szCs w:val="21"/>
                <w:color w:val="auto"/>
              </w:rPr>
            </w:pPr>
          </w:p>
        </w:tc>
        <w:tc>
          <w:tcPr>
            <w:tcW w:w="540" w:type="dxa"/>
            <w:vAlign w:val="bottom"/>
            <w:gridSpan w:val="2"/>
          </w:tcPr>
          <w:p>
            <w:pPr>
              <w:jc w:val="right"/>
              <w:spacing w:after="0" w:line="246"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8.2</w:t>
            </w:r>
          </w:p>
        </w:tc>
        <w:tc>
          <w:tcPr>
            <w:tcW w:w="8100" w:type="dxa"/>
            <w:vAlign w:val="bottom"/>
            <w:gridSpan w:val="25"/>
          </w:tcPr>
          <w:p>
            <w:pPr>
              <w:spacing w:after="0"/>
              <w:rPr>
                <w:sz w:val="20"/>
                <w:szCs w:val="20"/>
                <w:color w:val="auto"/>
              </w:rPr>
            </w:pPr>
            <w:r>
              <w:rPr>
                <w:rFonts w:ascii="Arial" w:cs="Arial" w:eastAsia="Arial" w:hAnsi="Arial"/>
                <w:sz w:val="22"/>
                <w:szCs w:val="22"/>
                <w:color w:val="auto"/>
              </w:rPr>
              <w:t>Retroactive Amendments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77"/>
        </w:trPr>
        <w:tc>
          <w:tcPr>
            <w:tcW w:w="1820" w:type="dxa"/>
            <w:vAlign w:val="bottom"/>
          </w:tcPr>
          <w:p>
            <w:pPr>
              <w:jc w:val="right"/>
              <w:ind w:right="272"/>
              <w:spacing w:after="0"/>
              <w:rPr>
                <w:sz w:val="20"/>
                <w:szCs w:val="20"/>
                <w:color w:val="auto"/>
              </w:rPr>
            </w:pPr>
            <w:r>
              <w:rPr>
                <w:rFonts w:ascii="Arial" w:cs="Arial" w:eastAsia="Arial" w:hAnsi="Arial"/>
                <w:sz w:val="22"/>
                <w:szCs w:val="22"/>
                <w:color w:val="auto"/>
              </w:rPr>
              <w:t>8.3</w:t>
            </w:r>
          </w:p>
        </w:tc>
        <w:tc>
          <w:tcPr>
            <w:tcW w:w="15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8"/>
              </w:rPr>
              <w:t>Plan Termination</w:t>
            </w:r>
          </w:p>
        </w:tc>
        <w:tc>
          <w:tcPr>
            <w:tcW w:w="700" w:type="dxa"/>
            <w:vAlign w:val="bottom"/>
            <w:tcBorders>
              <w:top w:val="single" w:sz="8" w:color="auto"/>
            </w:tcBorders>
            <w:gridSpan w:val="7"/>
          </w:tcPr>
          <w:p>
            <w:pPr>
              <w:spacing w:after="0"/>
              <w:rPr>
                <w:sz w:val="24"/>
                <w:szCs w:val="24"/>
                <w:color w:val="auto"/>
              </w:rPr>
            </w:pPr>
          </w:p>
        </w:tc>
        <w:tc>
          <w:tcPr>
            <w:tcW w:w="5900" w:type="dxa"/>
            <w:vAlign w:val="bottom"/>
            <w:gridSpan w:val="1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100" w:top="1206" w:right="339" w:bottom="1440" w:gutter="0" w:footer="0" w:header="0"/>
        </w:sectPr>
      </w:pPr>
    </w:p>
    <w:p>
      <w:pPr>
        <w:spacing w:after="0" w:line="296" w:lineRule="exact"/>
        <w:rPr>
          <w:sz w:val="20"/>
          <w:szCs w:val="20"/>
          <w:color w:val="auto"/>
        </w:rPr>
      </w:pPr>
    </w:p>
    <w:p>
      <w:pPr>
        <w:ind w:left="3040"/>
        <w:spacing w:after="0"/>
        <w:rPr>
          <w:sz w:val="20"/>
          <w:szCs w:val="20"/>
          <w:color w:val="auto"/>
        </w:rPr>
      </w:pPr>
      <w:r>
        <w:rPr>
          <w:rFonts w:ascii="Arial" w:cs="Arial" w:eastAsia="Arial" w:hAnsi="Arial"/>
          <w:sz w:val="19"/>
          <w:szCs w:val="19"/>
          <w:color w:val="auto"/>
        </w:rPr>
        <w:t>- i -</w:t>
      </w:r>
    </w:p>
    <w:p>
      <w:pPr>
        <w:sectPr>
          <w:pgSz w:w="11900" w:h="16838" w:orient="portrait"/>
          <w:cols w:equalWidth="0" w:num="1">
            <w:col w:w="10460"/>
          </w:cols>
          <w:pgMar w:left="1100" w:top="1206"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53"/>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8.4</w:t>
            </w:r>
          </w:p>
        </w:tc>
        <w:tc>
          <w:tcPr>
            <w:tcW w:w="368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90"/>
              </w:rPr>
              <w:t>Distribution Upon Termination of the Plan</w:t>
            </w:r>
          </w:p>
        </w:tc>
        <w:tc>
          <w:tcPr>
            <w:tcW w:w="2660" w:type="dxa"/>
            <w:vAlign w:val="bottom"/>
            <w:gridSpan w:val="3"/>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328"/>
        </w:trPr>
        <w:tc>
          <w:tcPr>
            <w:tcW w:w="164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IX</w:t>
            </w:r>
          </w:p>
        </w:tc>
        <w:tc>
          <w:tcPr>
            <w:tcW w:w="6340" w:type="dxa"/>
            <w:vAlign w:val="bottom"/>
            <w:gridSpan w:val="12"/>
          </w:tcPr>
          <w:p>
            <w:pPr>
              <w:spacing w:after="0"/>
              <w:rPr>
                <w:sz w:val="20"/>
                <w:szCs w:val="20"/>
                <w:color w:val="auto"/>
              </w:rPr>
            </w:pPr>
            <w:r>
              <w:rPr>
                <w:rFonts w:ascii="Arial" w:cs="Arial" w:eastAsia="Arial" w:hAnsi="Arial"/>
                <w:sz w:val="22"/>
                <w:szCs w:val="22"/>
                <w:color w:val="auto"/>
              </w:rPr>
              <w:t>THE TRUST</w:t>
            </w:r>
          </w:p>
        </w:tc>
        <w:tc>
          <w:tcPr>
            <w:tcW w:w="2300" w:type="dxa"/>
            <w:vAlign w:val="bottom"/>
          </w:tcPr>
          <w:p>
            <w:pPr>
              <w:jc w:val="right"/>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7"/>
        </w:trPr>
        <w:tc>
          <w:tcPr>
            <w:tcW w:w="164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9.1</w:t>
            </w:r>
          </w:p>
        </w:tc>
        <w:tc>
          <w:tcPr>
            <w:tcW w:w="6340" w:type="dxa"/>
            <w:vAlign w:val="bottom"/>
            <w:gridSpan w:val="12"/>
          </w:tcPr>
          <w:p>
            <w:pPr>
              <w:spacing w:after="0" w:line="246" w:lineRule="exact"/>
              <w:rPr>
                <w:sz w:val="20"/>
                <w:szCs w:val="20"/>
                <w:color w:val="auto"/>
              </w:rPr>
            </w:pPr>
            <w:r>
              <w:rPr>
                <w:rFonts w:ascii="Arial" w:cs="Arial" w:eastAsia="Arial" w:hAnsi="Arial"/>
                <w:sz w:val="22"/>
                <w:szCs w:val="22"/>
                <w:color w:val="auto"/>
              </w:rPr>
              <w:t>Establishment of Trust</w:t>
            </w:r>
          </w:p>
        </w:tc>
        <w:tc>
          <w:tcPr>
            <w:tcW w:w="2300" w:type="dxa"/>
            <w:vAlign w:val="bottom"/>
          </w:tcPr>
          <w:p>
            <w:pPr>
              <w:jc w:val="right"/>
              <w:spacing w:after="0" w:line="246"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328"/>
        </w:trPr>
        <w:tc>
          <w:tcPr>
            <w:tcW w:w="1640" w:type="dxa"/>
            <w:vAlign w:val="bottom"/>
          </w:tcPr>
          <w:p>
            <w:pPr>
              <w:jc w:val="right"/>
              <w:ind w:right="272"/>
              <w:spacing w:after="0"/>
              <w:rPr>
                <w:sz w:val="20"/>
                <w:szCs w:val="20"/>
                <w:color w:val="auto"/>
              </w:rPr>
            </w:pPr>
            <w:r>
              <w:rPr>
                <w:rFonts w:ascii="Arial" w:cs="Arial" w:eastAsia="Arial" w:hAnsi="Arial"/>
                <w:sz w:val="22"/>
                <w:szCs w:val="22"/>
                <w:b w:val="1"/>
                <w:bCs w:val="1"/>
                <w:color w:val="auto"/>
              </w:rPr>
              <w:t>ARTICLE X</w:t>
            </w:r>
          </w:p>
        </w:tc>
        <w:tc>
          <w:tcPr>
            <w:tcW w:w="196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MISCELLANEOUS</w:t>
            </w:r>
          </w:p>
        </w:tc>
        <w:tc>
          <w:tcPr>
            <w:tcW w:w="4380" w:type="dxa"/>
            <w:vAlign w:val="bottom"/>
            <w:gridSpan w:val="7"/>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7"/>
        </w:trPr>
        <w:tc>
          <w:tcPr>
            <w:tcW w:w="164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10.1</w:t>
            </w:r>
          </w:p>
        </w:tc>
        <w:tc>
          <w:tcPr>
            <w:tcW w:w="2700" w:type="dxa"/>
            <w:vAlign w:val="bottom"/>
            <w:tcBorders>
              <w:bottom w:val="single" w:sz="8" w:color="auto"/>
            </w:tcBorders>
            <w:gridSpan w:val="7"/>
          </w:tcPr>
          <w:p>
            <w:pPr>
              <w:spacing w:after="0" w:line="246" w:lineRule="exact"/>
              <w:rPr>
                <w:sz w:val="20"/>
                <w:szCs w:val="20"/>
                <w:color w:val="auto"/>
              </w:rPr>
            </w:pPr>
            <w:r>
              <w:rPr>
                <w:rFonts w:ascii="Arial" w:cs="Arial" w:eastAsia="Arial" w:hAnsi="Arial"/>
                <w:sz w:val="22"/>
                <w:szCs w:val="22"/>
                <w:color w:val="auto"/>
                <w:w w:val="89"/>
              </w:rPr>
              <w:t>Communication to Participants</w:t>
            </w:r>
          </w:p>
        </w:tc>
        <w:tc>
          <w:tcPr>
            <w:tcW w:w="3640" w:type="dxa"/>
            <w:vAlign w:val="bottom"/>
            <w:gridSpan w:val="5"/>
          </w:tcPr>
          <w:p>
            <w:pPr>
              <w:spacing w:after="0"/>
              <w:rPr>
                <w:sz w:val="21"/>
                <w:szCs w:val="21"/>
                <w:color w:val="auto"/>
              </w:rPr>
            </w:pPr>
          </w:p>
        </w:tc>
        <w:tc>
          <w:tcPr>
            <w:tcW w:w="2300" w:type="dxa"/>
            <w:vAlign w:val="bottom"/>
          </w:tcPr>
          <w:p>
            <w:pPr>
              <w:jc w:val="right"/>
              <w:spacing w:after="0" w:line="246"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10.2</w:t>
            </w:r>
          </w:p>
        </w:tc>
        <w:tc>
          <w:tcPr>
            <w:tcW w:w="6340" w:type="dxa"/>
            <w:vAlign w:val="bottom"/>
            <w:gridSpan w:val="12"/>
          </w:tcPr>
          <w:p>
            <w:pPr>
              <w:spacing w:after="0"/>
              <w:rPr>
                <w:sz w:val="20"/>
                <w:szCs w:val="20"/>
                <w:color w:val="auto"/>
              </w:rPr>
            </w:pPr>
            <w:r>
              <w:rPr>
                <w:rFonts w:ascii="Arial" w:cs="Arial" w:eastAsia="Arial" w:hAnsi="Arial"/>
                <w:sz w:val="22"/>
                <w:szCs w:val="22"/>
                <w:color w:val="auto"/>
              </w:rPr>
              <w:t>Limitation of Rights</w:t>
            </w: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10.3</w:t>
            </w:r>
          </w:p>
        </w:tc>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0"/>
              </w:rPr>
              <w:t>Spendthrift Provision</w:t>
            </w:r>
          </w:p>
        </w:tc>
        <w:tc>
          <w:tcPr>
            <w:tcW w:w="4480" w:type="dxa"/>
            <w:vAlign w:val="bottom"/>
            <w:gridSpan w:val="8"/>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10.4</w:t>
            </w:r>
          </w:p>
        </w:tc>
        <w:tc>
          <w:tcPr>
            <w:tcW w:w="6340" w:type="dxa"/>
            <w:vAlign w:val="bottom"/>
            <w:gridSpan w:val="12"/>
          </w:tcPr>
          <w:p>
            <w:pPr>
              <w:spacing w:after="0"/>
              <w:rPr>
                <w:sz w:val="20"/>
                <w:szCs w:val="20"/>
                <w:color w:val="auto"/>
              </w:rPr>
            </w:pPr>
            <w:r>
              <w:rPr>
                <w:rFonts w:ascii="Arial" w:cs="Arial" w:eastAsia="Arial" w:hAnsi="Arial"/>
                <w:sz w:val="22"/>
                <w:szCs w:val="22"/>
                <w:color w:val="auto"/>
              </w:rPr>
              <w:t>Facility of Payment</w:t>
            </w: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10.5</w:t>
            </w:r>
          </w:p>
        </w:tc>
        <w:tc>
          <w:tcPr>
            <w:tcW w:w="6340" w:type="dxa"/>
            <w:vAlign w:val="bottom"/>
            <w:gridSpan w:val="12"/>
          </w:tcPr>
          <w:p>
            <w:pPr>
              <w:spacing w:after="0"/>
              <w:rPr>
                <w:sz w:val="20"/>
                <w:szCs w:val="20"/>
                <w:color w:val="auto"/>
              </w:rPr>
            </w:pPr>
            <w:r>
              <w:rPr>
                <w:rFonts w:ascii="Arial" w:cs="Arial" w:eastAsia="Arial" w:hAnsi="Arial"/>
                <w:sz w:val="22"/>
                <w:szCs w:val="22"/>
                <w:color w:val="auto"/>
              </w:rPr>
              <w:t>Information between Company and Trustee</w:t>
            </w: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10.6</w:t>
            </w:r>
          </w:p>
        </w:tc>
        <w:tc>
          <w:tcPr>
            <w:tcW w:w="3760" w:type="dxa"/>
            <w:vAlign w:val="bottom"/>
            <w:tcBorders>
              <w:top w:val="single" w:sz="8" w:color="auto"/>
            </w:tcBorders>
            <w:gridSpan w:val="10"/>
          </w:tcPr>
          <w:p>
            <w:pPr>
              <w:spacing w:after="0"/>
              <w:rPr>
                <w:sz w:val="20"/>
                <w:szCs w:val="20"/>
                <w:color w:val="auto"/>
              </w:rPr>
            </w:pPr>
            <w:r>
              <w:rPr>
                <w:rFonts w:ascii="Arial" w:cs="Arial" w:eastAsia="Arial" w:hAnsi="Arial"/>
                <w:sz w:val="22"/>
                <w:szCs w:val="22"/>
                <w:color w:val="auto"/>
              </w:rPr>
              <w:t>Notices</w:t>
            </w:r>
          </w:p>
        </w:tc>
        <w:tc>
          <w:tcPr>
            <w:tcW w:w="2580" w:type="dxa"/>
            <w:vAlign w:val="bottom"/>
            <w:gridSpan w:val="2"/>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10.7</w:t>
            </w:r>
          </w:p>
        </w:tc>
        <w:tc>
          <w:tcPr>
            <w:tcW w:w="6340" w:type="dxa"/>
            <w:vAlign w:val="bottom"/>
            <w:gridSpan w:val="12"/>
          </w:tcPr>
          <w:p>
            <w:pPr>
              <w:spacing w:after="0"/>
              <w:rPr>
                <w:sz w:val="20"/>
                <w:szCs w:val="20"/>
                <w:color w:val="auto"/>
              </w:rPr>
            </w:pPr>
            <w:r>
              <w:rPr>
                <w:rFonts w:ascii="Arial" w:cs="Arial" w:eastAsia="Arial" w:hAnsi="Arial"/>
                <w:sz w:val="22"/>
                <w:szCs w:val="22"/>
                <w:color w:val="auto"/>
              </w:rPr>
              <w:t>Governing Law</w:t>
            </w:r>
          </w:p>
        </w:tc>
        <w:tc>
          <w:tcPr>
            <w:tcW w:w="230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0"/>
        </w:trPr>
        <w:tc>
          <w:tcPr>
            <w:tcW w:w="164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ARTICLE XI</w:t>
            </w:r>
          </w:p>
        </w:tc>
        <w:tc>
          <w:tcPr>
            <w:tcW w:w="1360" w:type="dxa"/>
            <w:vAlign w:val="bottom"/>
            <w:gridSpan w:val="2"/>
            <w:shd w:val="clear" w:color="auto" w:fill="00000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640" w:type="dxa"/>
            <w:vAlign w:val="bottom"/>
            <w:vMerge w:val="continue"/>
          </w:tcPr>
          <w:p>
            <w:pPr>
              <w:spacing w:after="0"/>
              <w:rPr>
                <w:sz w:val="24"/>
                <w:szCs w:val="24"/>
                <w:color w:val="auto"/>
              </w:rPr>
            </w:pPr>
          </w:p>
        </w:tc>
        <w:tc>
          <w:tcPr>
            <w:tcW w:w="6340" w:type="dxa"/>
            <w:vAlign w:val="bottom"/>
            <w:gridSpan w:val="12"/>
          </w:tcPr>
          <w:p>
            <w:pPr>
              <w:spacing w:after="0"/>
              <w:rPr>
                <w:sz w:val="20"/>
                <w:szCs w:val="20"/>
                <w:color w:val="auto"/>
              </w:rPr>
            </w:pPr>
            <w:r>
              <w:rPr>
                <w:rFonts w:ascii="Arial" w:cs="Arial" w:eastAsia="Arial" w:hAnsi="Arial"/>
                <w:sz w:val="22"/>
                <w:szCs w:val="22"/>
                <w:color w:val="auto"/>
              </w:rPr>
              <w:t>PLAN ADMINISTRATION</w:t>
            </w:r>
          </w:p>
        </w:tc>
        <w:tc>
          <w:tcPr>
            <w:tcW w:w="230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7"/>
        </w:trPr>
        <w:tc>
          <w:tcPr>
            <w:tcW w:w="1640" w:type="dxa"/>
            <w:vAlign w:val="bottom"/>
          </w:tcPr>
          <w:p>
            <w:pPr>
              <w:jc w:val="right"/>
              <w:ind w:right="272"/>
              <w:spacing w:after="0" w:line="246" w:lineRule="exact"/>
              <w:rPr>
                <w:sz w:val="20"/>
                <w:szCs w:val="20"/>
                <w:color w:val="auto"/>
              </w:rPr>
            </w:pPr>
            <w:r>
              <w:rPr>
                <w:rFonts w:ascii="Arial" w:cs="Arial" w:eastAsia="Arial" w:hAnsi="Arial"/>
                <w:sz w:val="22"/>
                <w:szCs w:val="22"/>
                <w:color w:val="auto"/>
              </w:rPr>
              <w:t>11.1</w:t>
            </w:r>
          </w:p>
        </w:tc>
        <w:tc>
          <w:tcPr>
            <w:tcW w:w="4260" w:type="dxa"/>
            <w:vAlign w:val="bottom"/>
            <w:tcBorders>
              <w:bottom w:val="single" w:sz="8" w:color="auto"/>
            </w:tcBorders>
            <w:gridSpan w:val="11"/>
          </w:tcPr>
          <w:p>
            <w:pPr>
              <w:spacing w:after="0" w:line="246" w:lineRule="exact"/>
              <w:rPr>
                <w:sz w:val="20"/>
                <w:szCs w:val="20"/>
                <w:color w:val="auto"/>
              </w:rPr>
            </w:pPr>
            <w:r>
              <w:rPr>
                <w:rFonts w:ascii="Arial" w:cs="Arial" w:eastAsia="Arial" w:hAnsi="Arial"/>
                <w:sz w:val="22"/>
                <w:szCs w:val="22"/>
                <w:color w:val="auto"/>
                <w:w w:val="89"/>
              </w:rPr>
              <w:t>Powers and Responsibilities of the Administrator</w:t>
            </w:r>
          </w:p>
        </w:tc>
        <w:tc>
          <w:tcPr>
            <w:tcW w:w="2080" w:type="dxa"/>
            <w:vAlign w:val="bottom"/>
          </w:tcPr>
          <w:p>
            <w:pPr>
              <w:spacing w:after="0"/>
              <w:rPr>
                <w:sz w:val="21"/>
                <w:szCs w:val="21"/>
                <w:color w:val="auto"/>
              </w:rPr>
            </w:pPr>
          </w:p>
        </w:tc>
        <w:tc>
          <w:tcPr>
            <w:tcW w:w="2300" w:type="dxa"/>
            <w:vAlign w:val="bottom"/>
          </w:tcPr>
          <w:p>
            <w:pPr>
              <w:jc w:val="right"/>
              <w:spacing w:after="0" w:line="246"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11.2</w:t>
            </w:r>
          </w:p>
        </w:tc>
        <w:tc>
          <w:tcPr>
            <w:tcW w:w="6340" w:type="dxa"/>
            <w:vAlign w:val="bottom"/>
            <w:gridSpan w:val="12"/>
          </w:tcPr>
          <w:p>
            <w:pPr>
              <w:spacing w:after="0"/>
              <w:rPr>
                <w:sz w:val="20"/>
                <w:szCs w:val="20"/>
                <w:color w:val="auto"/>
              </w:rPr>
            </w:pPr>
            <w:r>
              <w:rPr>
                <w:rFonts w:ascii="Arial" w:cs="Arial" w:eastAsia="Arial" w:hAnsi="Arial"/>
                <w:sz w:val="22"/>
                <w:szCs w:val="22"/>
                <w:color w:val="auto"/>
              </w:rPr>
              <w:t>Nondiscriminatory Exercise of Authority</w:t>
            </w:r>
          </w:p>
        </w:tc>
        <w:tc>
          <w:tcPr>
            <w:tcW w:w="230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11.3</w:t>
            </w:r>
          </w:p>
        </w:tc>
        <w:tc>
          <w:tcPr>
            <w:tcW w:w="3560" w:type="dxa"/>
            <w:vAlign w:val="bottom"/>
            <w:tcBorders>
              <w:top w:val="single" w:sz="8" w:color="auto"/>
            </w:tcBorders>
            <w:gridSpan w:val="8"/>
          </w:tcPr>
          <w:p>
            <w:pPr>
              <w:spacing w:after="0"/>
              <w:rPr>
                <w:sz w:val="20"/>
                <w:szCs w:val="20"/>
                <w:color w:val="auto"/>
              </w:rPr>
            </w:pPr>
            <w:r>
              <w:rPr>
                <w:rFonts w:ascii="Arial" w:cs="Arial" w:eastAsia="Arial" w:hAnsi="Arial"/>
                <w:sz w:val="22"/>
                <w:szCs w:val="22"/>
                <w:color w:val="auto"/>
              </w:rPr>
              <w:t>Claims and Review Procedures</w:t>
            </w:r>
          </w:p>
        </w:tc>
        <w:tc>
          <w:tcPr>
            <w:tcW w:w="2780" w:type="dxa"/>
            <w:vAlign w:val="bottom"/>
            <w:gridSpan w:val="4"/>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7"/>
        </w:trPr>
        <w:tc>
          <w:tcPr>
            <w:tcW w:w="1640" w:type="dxa"/>
            <w:vAlign w:val="bottom"/>
          </w:tcPr>
          <w:p>
            <w:pPr>
              <w:jc w:val="right"/>
              <w:ind w:right="272"/>
              <w:spacing w:after="0"/>
              <w:rPr>
                <w:sz w:val="20"/>
                <w:szCs w:val="20"/>
                <w:color w:val="auto"/>
              </w:rPr>
            </w:pPr>
            <w:r>
              <w:rPr>
                <w:rFonts w:ascii="Arial" w:cs="Arial" w:eastAsia="Arial" w:hAnsi="Arial"/>
                <w:sz w:val="22"/>
                <w:szCs w:val="22"/>
                <w:color w:val="auto"/>
              </w:rPr>
              <w:t>11.4</w:t>
            </w:r>
          </w:p>
        </w:tc>
        <w:tc>
          <w:tcPr>
            <w:tcW w:w="240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9"/>
              </w:rPr>
              <w:t>Plan's Administrative Costs</w:t>
            </w:r>
          </w:p>
        </w:tc>
        <w:tc>
          <w:tcPr>
            <w:tcW w:w="300" w:type="dxa"/>
            <w:vAlign w:val="bottom"/>
            <w:tcBorders>
              <w:top w:val="single" w:sz="8" w:color="auto"/>
            </w:tcBorders>
          </w:tcPr>
          <w:p>
            <w:pPr>
              <w:spacing w:after="0"/>
              <w:rPr>
                <w:sz w:val="24"/>
                <w:szCs w:val="24"/>
                <w:color w:val="auto"/>
              </w:rPr>
            </w:pPr>
          </w:p>
        </w:tc>
        <w:tc>
          <w:tcPr>
            <w:tcW w:w="3640" w:type="dxa"/>
            <w:vAlign w:val="bottom"/>
            <w:gridSpan w:val="5"/>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 ii -</w:t>
      </w:r>
    </w:p>
    <w:p>
      <w:pPr>
        <w:sectPr>
          <w:pgSz w:w="11900" w:h="16838" w:orient="portrait"/>
          <w:cols w:equalWidth="0" w:num="1">
            <w:col w:w="10280"/>
          </w:cols>
          <w:pgMar w:left="1280" w:top="75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42"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Wherever used herein, the following terms have the meanings set forth below, unless a different meaning is clearly required by the context:</w:t>
      </w:r>
    </w:p>
    <w:p>
      <w:pPr>
        <w:spacing w:after="0" w:line="161" w:lineRule="exact"/>
        <w:rPr>
          <w:sz w:val="20"/>
          <w:szCs w:val="20"/>
          <w:color w:val="auto"/>
        </w:rPr>
      </w:pPr>
    </w:p>
    <w:p>
      <w:pPr>
        <w:ind w:firstLine="1305"/>
        <w:spacing w:after="0" w:line="276" w:lineRule="auto"/>
        <w:tabs>
          <w:tab w:leader="none" w:pos="173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Account</w:t>
      </w:r>
      <w:r>
        <w:rPr>
          <w:rFonts w:ascii="Arial" w:cs="Arial" w:eastAsia="Arial" w:hAnsi="Arial"/>
          <w:sz w:val="22"/>
          <w:szCs w:val="22"/>
          <w:color w:val="auto"/>
        </w:rPr>
        <w:t>” means an account established on the books of the Company to record amounts credited on behalf of a Participant and any expenses, distributions, gains or losses included thereon.</w:t>
      </w:r>
    </w:p>
    <w:p>
      <w:pPr>
        <w:spacing w:after="0" w:line="160" w:lineRule="exact"/>
        <w:rPr>
          <w:rFonts w:ascii="Arial" w:cs="Arial" w:eastAsia="Arial" w:hAnsi="Arial"/>
          <w:sz w:val="22"/>
          <w:szCs w:val="22"/>
          <w:color w:val="auto"/>
        </w:rPr>
      </w:pPr>
    </w:p>
    <w:p>
      <w:pPr>
        <w:ind w:right="20" w:firstLine="1305"/>
        <w:spacing w:after="0" w:line="276" w:lineRule="auto"/>
        <w:tabs>
          <w:tab w:leader="none" w:pos="1756"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Administrator</w:t>
      </w:r>
      <w:r>
        <w:rPr>
          <w:rFonts w:ascii="Arial" w:cs="Arial" w:eastAsia="Arial" w:hAnsi="Arial"/>
          <w:sz w:val="22"/>
          <w:szCs w:val="22"/>
          <w:color w:val="auto"/>
        </w:rPr>
        <w:t>” means the Retirement Plan Committee of the Company. The Administrator shall interpret and administer the Plan and take any other action described herein.</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97"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“Base Salary” </w:t>
      </w:r>
      <w:r>
        <w:rPr>
          <w:rFonts w:ascii="Arial" w:cs="Arial" w:eastAsia="Arial" w:hAnsi="Arial"/>
          <w:sz w:val="22"/>
          <w:szCs w:val="22"/>
          <w:color w:val="auto"/>
        </w:rPr>
        <w:t>means the regular salary payable by the Employer to the Participant, including payments for</w:t>
      </w:r>
      <w:r>
        <w:rPr>
          <w:rFonts w:ascii="Arial" w:cs="Arial" w:eastAsia="Arial" w:hAnsi="Arial"/>
          <w:sz w:val="22"/>
          <w:szCs w:val="22"/>
          <w:i w:val="1"/>
          <w:iCs w:val="1"/>
          <w:color w:val="auto"/>
        </w:rPr>
        <w:t xml:space="preserve"> </w:t>
      </w:r>
      <w:r>
        <w:rPr>
          <w:rFonts w:ascii="Arial" w:cs="Arial" w:eastAsia="Arial" w:hAnsi="Arial"/>
          <w:sz w:val="22"/>
          <w:szCs w:val="22"/>
          <w:color w:val="auto"/>
        </w:rPr>
        <w:t>holidays, jury duty, military leave, paid time off, sabbatical or bereavement leave, shift premiums, vacation pay, merit pay and any other amounts treated by the Employer as Base Salary.</w:t>
      </w:r>
    </w:p>
    <w:p>
      <w:pPr>
        <w:spacing w:after="0" w:line="177" w:lineRule="exact"/>
        <w:rPr>
          <w:rFonts w:ascii="Arial" w:cs="Arial" w:eastAsia="Arial" w:hAnsi="Arial"/>
          <w:sz w:val="22"/>
          <w:szCs w:val="22"/>
          <w:color w:val="auto"/>
        </w:rPr>
      </w:pPr>
    </w:p>
    <w:p>
      <w:pPr>
        <w:ind w:firstLine="1305"/>
        <w:spacing w:after="0" w:line="276" w:lineRule="auto"/>
        <w:tabs>
          <w:tab w:leader="none" w:pos="1783"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Beneficiary</w:t>
      </w:r>
      <w:r>
        <w:rPr>
          <w:rFonts w:ascii="Arial" w:cs="Arial" w:eastAsia="Arial" w:hAnsi="Arial"/>
          <w:sz w:val="22"/>
          <w:szCs w:val="22"/>
          <w:color w:val="auto"/>
        </w:rPr>
        <w:t>” means the person or persons entitled under Section 6.5 to receive benefits under the Plan upon the death of a Participant.</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787"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“Bonuses and Commissions” </w:t>
      </w:r>
      <w:r>
        <w:rPr>
          <w:rFonts w:ascii="Arial" w:cs="Arial" w:eastAsia="Arial" w:hAnsi="Arial"/>
          <w:sz w:val="22"/>
          <w:szCs w:val="22"/>
          <w:color w:val="auto"/>
        </w:rPr>
        <w:t>means the amounts payable by the Employer to the Participant which are not</w:t>
      </w:r>
      <w:r>
        <w:rPr>
          <w:rFonts w:ascii="Arial" w:cs="Arial" w:eastAsia="Arial" w:hAnsi="Arial"/>
          <w:sz w:val="22"/>
          <w:szCs w:val="22"/>
          <w:i w:val="1"/>
          <w:iCs w:val="1"/>
          <w:color w:val="auto"/>
        </w:rPr>
        <w:t xml:space="preserve"> </w:t>
      </w:r>
      <w:r>
        <w:rPr>
          <w:rFonts w:ascii="Arial" w:cs="Arial" w:eastAsia="Arial" w:hAnsi="Arial"/>
          <w:sz w:val="22"/>
          <w:szCs w:val="22"/>
          <w:color w:val="auto"/>
        </w:rPr>
        <w:t>considered Base Salary, which include management incentive payments, profit sharing, discretionary bonuses, commissions, employee incentive payments, and any other bonuses or commissions paid by the Employer.</w:t>
      </w:r>
    </w:p>
    <w:p>
      <w:pPr>
        <w:spacing w:after="0" w:line="177" w:lineRule="exact"/>
        <w:rPr>
          <w:rFonts w:ascii="Arial" w:cs="Arial" w:eastAsia="Arial" w:hAnsi="Arial"/>
          <w:sz w:val="22"/>
          <w:szCs w:val="22"/>
          <w:color w:val="auto"/>
        </w:rPr>
      </w:pPr>
    </w:p>
    <w:p>
      <w:pPr>
        <w:jc w:val="both"/>
        <w:ind w:firstLine="1305"/>
        <w:spacing w:after="0" w:line="307" w:lineRule="auto"/>
        <w:tabs>
          <w:tab w:leader="none" w:pos="1728" w:val="left"/>
        </w:tabs>
        <w:numPr>
          <w:ilvl w:val="0"/>
          <w:numId w:val="6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means a change in ownership or effective control of the Company or in the ownership of a substantial portion of the Company’s assets, as defined in Treasury regulations 1.409A-3(i)(5) or subsequent IRS guidance. The terms and provisions of the TriQuint Plan, as in effect prior to the Effective Date, shall govern the rights and benefits of Participants in connection with the Change of Control of TriQuint resulting from the Mergers.</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Qorvo, Inc. and any successors and assigns unless otherwise provided herein.</w:t>
      </w:r>
    </w:p>
    <w:p>
      <w:pPr>
        <w:spacing w:after="0" w:line="233" w:lineRule="exact"/>
        <w:rPr>
          <w:rFonts w:ascii="Arial" w:cs="Arial" w:eastAsia="Arial" w:hAnsi="Arial"/>
          <w:sz w:val="22"/>
          <w:szCs w:val="22"/>
          <w:color w:val="auto"/>
        </w:rPr>
      </w:pPr>
    </w:p>
    <w:p>
      <w:pPr>
        <w:jc w:val="both"/>
        <w:ind w:firstLine="1305"/>
        <w:spacing w:after="0" w:line="266" w:lineRule="auto"/>
        <w:tabs>
          <w:tab w:leader="none" w:pos="1748" w:val="left"/>
        </w:tabs>
        <w:numPr>
          <w:ilvl w:val="0"/>
          <w:numId w:val="6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Compensation</w:t>
      </w:r>
      <w:r>
        <w:rPr>
          <w:rFonts w:ascii="Arial" w:cs="Arial" w:eastAsia="Arial" w:hAnsi="Arial"/>
          <w:sz w:val="21"/>
          <w:szCs w:val="21"/>
          <w:color w:val="auto"/>
        </w:rPr>
        <w:t>” means (i) with respect to Eligible Employees, the sum of the Participant’s Base Salary plus Bonuses and Commissions, and (ii) with respect to Outside Directors, all cash retainers and meeting fees, paid for services performed after their Entry Date, excluding expense reimbursements, welfare benefits, imputed income and income recognized pursuant to equity compensation. Any salary deferral elections made under Employer’s 401(k) Plan shall be determined based on the Participant’s Compensation after reduction for the Deferral Contributions to this Plan.</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5660" w:hanging="111"/>
        <w:spacing w:after="0"/>
        <w:tabs>
          <w:tab w:leader="none" w:pos="5660" w:val="left"/>
        </w:tabs>
        <w:numPr>
          <w:ilvl w:val="1"/>
          <w:numId w:val="69"/>
        </w:numPr>
        <w:rPr>
          <w:rFonts w:ascii="Arial" w:cs="Arial" w:eastAsia="Arial" w:hAnsi="Arial"/>
          <w:sz w:val="20"/>
          <w:szCs w:val="20"/>
          <w:color w:val="auto"/>
        </w:rPr>
      </w:pPr>
      <w:r>
        <w:rPr>
          <w:rFonts w:ascii="Arial" w:cs="Arial" w:eastAsia="Arial" w:hAnsi="Arial"/>
          <w:sz w:val="20"/>
          <w:szCs w:val="20"/>
          <w:color w:val="auto"/>
        </w:rPr>
        <w:t>1 -</w:t>
      </w:r>
    </w:p>
    <w:p>
      <w:pPr>
        <w:sectPr>
          <w:pgSz w:w="11900" w:h="16838" w:orient="portrait"/>
          <w:cols w:equalWidth="0" w:num="1">
            <w:col w:w="11420"/>
          </w:cols>
          <w:pgMar w:left="240" w:top="625" w:right="239" w:bottom="1440" w:gutter="0" w:footer="0" w:header="0"/>
        </w:sectPr>
      </w:pPr>
    </w:p>
    <w:bookmarkStart w:id="123" w:name="page124"/>
    <w:bookmarkEnd w:id="123"/>
    <w:p>
      <w:pPr>
        <w:ind w:left="1300"/>
        <w:spacing w:after="0"/>
        <w:tabs>
          <w:tab w:leader="none" w:pos="1740" w:val="left"/>
        </w:tabs>
        <w:rPr>
          <w:sz w:val="20"/>
          <w:szCs w:val="20"/>
          <w:color w:val="auto"/>
        </w:rPr>
      </w:pPr>
      <w:r>
        <w:rPr>
          <w:rFonts w:ascii="Arial" w:cs="Arial" w:eastAsia="Arial" w:hAnsi="Arial"/>
          <w:sz w:val="22"/>
          <w:szCs w:val="22"/>
          <w:color w:val="auto"/>
        </w:rPr>
        <w:t>(k)</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Deferral Contribution</w:t>
      </w:r>
      <w:r>
        <w:rPr>
          <w:rFonts w:ascii="Arial" w:cs="Arial" w:eastAsia="Arial" w:hAnsi="Arial"/>
          <w:sz w:val="19"/>
          <w:szCs w:val="19"/>
          <w:color w:val="auto"/>
        </w:rPr>
        <w:t>” means, for each Participant, the amount of Compensation deferred pursuant to Section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3.1 hereof.</w:t>
      </w:r>
    </w:p>
    <w:p>
      <w:pPr>
        <w:spacing w:after="0" w:line="215" w:lineRule="exact"/>
        <w:rPr>
          <w:sz w:val="20"/>
          <w:szCs w:val="20"/>
          <w:color w:val="auto"/>
        </w:rPr>
      </w:pPr>
    </w:p>
    <w:p>
      <w:pPr>
        <w:jc w:val="both"/>
        <w:ind w:firstLine="1305"/>
        <w:spacing w:after="0" w:line="300" w:lineRule="auto"/>
        <w:tabs>
          <w:tab w:leader="none" w:pos="1748"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Disability</w:t>
      </w:r>
      <w:r>
        <w:rPr>
          <w:rFonts w:ascii="Arial" w:cs="Arial" w:eastAsia="Arial" w:hAnsi="Arial"/>
          <w:sz w:val="19"/>
          <w:szCs w:val="19"/>
          <w:color w:val="auto"/>
        </w:rPr>
        <w:t>” means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Employees.</w:t>
      </w:r>
    </w:p>
    <w:p>
      <w:pPr>
        <w:spacing w:after="0" w:line="147" w:lineRule="exact"/>
        <w:rPr>
          <w:rFonts w:ascii="Arial" w:cs="Arial" w:eastAsia="Arial" w:hAnsi="Arial"/>
          <w:sz w:val="19"/>
          <w:szCs w:val="19"/>
          <w:color w:val="auto"/>
        </w:rPr>
      </w:pPr>
    </w:p>
    <w:p>
      <w:pPr>
        <w:jc w:val="both"/>
        <w:ind w:firstLine="1305"/>
        <w:spacing w:after="0" w:line="320" w:lineRule="auto"/>
        <w:tabs>
          <w:tab w:leader="none" w:pos="1802"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Eligible Employee</w:t>
      </w:r>
      <w:r>
        <w:rPr>
          <w:rFonts w:ascii="Arial" w:cs="Arial" w:eastAsia="Arial" w:hAnsi="Arial"/>
          <w:sz w:val="19"/>
          <w:szCs w:val="19"/>
          <w:color w:val="auto"/>
        </w:rPr>
        <w:t>” means (i) any U.S. payroll-based Employee who has an annualized rate of pay of at least $160,000 and who is determined by the Administrator to be a management or highly compensated Employee of the Employer, (ii) any Outside Director, or (iii) any other Employee designated by the Company’s Vice-President of Human Resources.</w:t>
      </w:r>
    </w:p>
    <w:p>
      <w:pPr>
        <w:spacing w:after="0" w:line="125" w:lineRule="exact"/>
        <w:rPr>
          <w:rFonts w:ascii="Arial" w:cs="Arial" w:eastAsia="Arial" w:hAnsi="Arial"/>
          <w:sz w:val="19"/>
          <w:szCs w:val="19"/>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Employee</w:t>
      </w:r>
      <w:r>
        <w:rPr>
          <w:rFonts w:ascii="Arial" w:cs="Arial" w:eastAsia="Arial" w:hAnsi="Arial"/>
          <w:sz w:val="22"/>
          <w:szCs w:val="22"/>
          <w:color w:val="auto"/>
        </w:rPr>
        <w:t>” means any employee of the Employer.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Employer</w:t>
      </w:r>
      <w:r>
        <w:rPr>
          <w:rFonts w:ascii="Arial" w:cs="Arial" w:eastAsia="Arial" w:hAnsi="Arial"/>
          <w:sz w:val="22"/>
          <w:szCs w:val="22"/>
          <w:color w:val="auto"/>
        </w:rPr>
        <w:t>” means the Company and any of its Subsidiaries.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w:t>
      </w:r>
      <w:r>
        <w:rPr>
          <w:rFonts w:ascii="Arial" w:cs="Arial" w:eastAsia="Arial" w:hAnsi="Arial"/>
          <w:sz w:val="22"/>
          <w:szCs w:val="22"/>
          <w:color w:val="auto"/>
        </w:rPr>
        <w:t>” means the Employee Retirement Income Security Act of 1974, as amended.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Outside Director</w:t>
      </w:r>
      <w:r>
        <w:rPr>
          <w:rFonts w:ascii="Arial" w:cs="Arial" w:eastAsia="Arial" w:hAnsi="Arial"/>
          <w:sz w:val="22"/>
          <w:szCs w:val="22"/>
          <w:color w:val="auto"/>
        </w:rPr>
        <w:t>” means a non-Employee member of the Board.</w:t>
      </w:r>
    </w:p>
    <w:p>
      <w:pPr>
        <w:spacing w:after="0" w:line="233" w:lineRule="exact"/>
        <w:rPr>
          <w:rFonts w:ascii="Arial" w:cs="Arial" w:eastAsia="Arial" w:hAnsi="Arial"/>
          <w:sz w:val="22"/>
          <w:szCs w:val="22"/>
          <w:color w:val="auto"/>
        </w:rPr>
      </w:pPr>
    </w:p>
    <w:p>
      <w:pPr>
        <w:ind w:left="1700" w:hanging="395"/>
        <w:spacing w:after="0"/>
        <w:tabs>
          <w:tab w:leader="none" w:pos="17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any Eligible Employee or Outside Director who participates in the Plan in accordance with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Article 2 hereof.</w:t>
      </w:r>
    </w:p>
    <w:p>
      <w:pPr>
        <w:spacing w:after="0" w:line="215" w:lineRule="exact"/>
        <w:rPr>
          <w:rFonts w:ascii="Arial" w:cs="Arial" w:eastAsia="Arial" w:hAnsi="Arial"/>
          <w:sz w:val="19"/>
          <w:szCs w:val="19"/>
          <w:color w:val="auto"/>
        </w:rPr>
      </w:pPr>
    </w:p>
    <w:p>
      <w:pPr>
        <w:ind w:left="1720" w:hanging="415"/>
        <w:spacing w:after="0"/>
        <w:tabs>
          <w:tab w:leader="none" w:pos="17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Plan</w:t>
      </w:r>
      <w:r>
        <w:rPr>
          <w:rFonts w:ascii="Arial" w:cs="Arial" w:eastAsia="Arial" w:hAnsi="Arial"/>
          <w:sz w:val="22"/>
          <w:szCs w:val="22"/>
          <w:color w:val="auto"/>
        </w:rPr>
        <w:t>” means this Qorvo, Inc. Nonqualified Deferred Compensation Plan.</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Plan Year</w:t>
      </w:r>
      <w:r>
        <w:rPr>
          <w:rFonts w:ascii="Arial" w:cs="Arial" w:eastAsia="Arial" w:hAnsi="Arial"/>
          <w:sz w:val="22"/>
          <w:szCs w:val="22"/>
          <w:color w:val="auto"/>
        </w:rPr>
        <w:t>” means the 12-consecutive month period beginning January 1 and ending December 31.</w:t>
      </w:r>
    </w:p>
    <w:p>
      <w:pPr>
        <w:spacing w:after="0" w:line="233" w:lineRule="exact"/>
        <w:rPr>
          <w:rFonts w:ascii="Arial" w:cs="Arial" w:eastAsia="Arial" w:hAnsi="Arial"/>
          <w:sz w:val="22"/>
          <w:szCs w:val="22"/>
          <w:color w:val="auto"/>
        </w:rPr>
      </w:pPr>
    </w:p>
    <w:p>
      <w:pPr>
        <w:ind w:firstLine="1305"/>
        <w:spacing w:after="0" w:line="276" w:lineRule="auto"/>
        <w:tabs>
          <w:tab w:leader="none" w:pos="1756"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Separation From Service</w:t>
      </w:r>
      <w:r>
        <w:rPr>
          <w:rFonts w:ascii="Arial" w:cs="Arial" w:eastAsia="Arial" w:hAnsi="Arial"/>
          <w:sz w:val="22"/>
          <w:szCs w:val="22"/>
          <w:color w:val="auto"/>
        </w:rPr>
        <w:t>” means a separation from service as defined in Treasury regulations 1.409A-1(h) or subsequent IRS guidance.</w:t>
      </w:r>
    </w:p>
    <w:p>
      <w:pPr>
        <w:spacing w:after="0" w:line="160" w:lineRule="exact"/>
        <w:rPr>
          <w:rFonts w:ascii="Arial" w:cs="Arial" w:eastAsia="Arial" w:hAnsi="Arial"/>
          <w:sz w:val="22"/>
          <w:szCs w:val="22"/>
          <w:color w:val="auto"/>
        </w:rPr>
      </w:pPr>
    </w:p>
    <w:p>
      <w:pPr>
        <w:jc w:val="both"/>
        <w:ind w:firstLine="1305"/>
        <w:spacing w:after="0" w:line="307" w:lineRule="auto"/>
        <w:tabs>
          <w:tab w:leader="none" w:pos="1756" w:val="left"/>
        </w:tabs>
        <w:numPr>
          <w:ilvl w:val="0"/>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Specified Employee</w:t>
      </w:r>
      <w:r>
        <w:rPr>
          <w:rFonts w:ascii="Arial" w:cs="Arial" w:eastAsia="Arial" w:hAnsi="Arial"/>
          <w:sz w:val="19"/>
          <w:szCs w:val="19"/>
          <w:color w:val="auto"/>
        </w:rPr>
        <w:t>” means a “key employee” as defined in Code Section 416(i) without regard to paragraph five (5) thereof at any time during the 12-month period ending on the most recent December 31. As of the 2015 Plan Year, this generally includes (i) the top-paid fifty (50) officers of the Employer with Compensation of more than $170,000 per year, (ii) a 5% owner of the Company, or (iii) a 1% owner of the Company with Compensation of more than $150,000 per year.</w:t>
      </w:r>
    </w:p>
    <w:p>
      <w:pPr>
        <w:spacing w:after="0" w:line="138" w:lineRule="exact"/>
        <w:rPr>
          <w:rFonts w:ascii="Arial" w:cs="Arial" w:eastAsia="Arial" w:hAnsi="Arial"/>
          <w:sz w:val="19"/>
          <w:szCs w:val="19"/>
          <w:color w:val="auto"/>
        </w:rPr>
      </w:pPr>
    </w:p>
    <w:p>
      <w:pPr>
        <w:ind w:left="1780" w:hanging="475"/>
        <w:spacing w:after="0"/>
        <w:tabs>
          <w:tab w:leader="none" w:pos="1780" w:val="left"/>
        </w:tabs>
        <w:numPr>
          <w:ilvl w:val="0"/>
          <w:numId w:val="7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Trading Day</w:t>
      </w:r>
      <w:r>
        <w:rPr>
          <w:rFonts w:ascii="Arial" w:cs="Arial" w:eastAsia="Arial" w:hAnsi="Arial"/>
          <w:sz w:val="21"/>
          <w:szCs w:val="21"/>
          <w:color w:val="auto"/>
        </w:rPr>
        <w:t>” means a day upon which the major U.S. national stock exchanges are open for trading.</w:t>
      </w:r>
    </w:p>
    <w:p>
      <w:pPr>
        <w:spacing w:after="0" w:line="200" w:lineRule="exact"/>
        <w:rPr>
          <w:rFonts w:ascii="Arial" w:cs="Arial" w:eastAsia="Arial" w:hAnsi="Arial"/>
          <w:sz w:val="21"/>
          <w:szCs w:val="21"/>
          <w:color w:val="auto"/>
        </w:rPr>
      </w:pPr>
    </w:p>
    <w:p>
      <w:pPr>
        <w:spacing w:after="0" w:line="278" w:lineRule="exact"/>
        <w:rPr>
          <w:rFonts w:ascii="Arial" w:cs="Arial" w:eastAsia="Arial" w:hAnsi="Arial"/>
          <w:sz w:val="21"/>
          <w:szCs w:val="21"/>
          <w:color w:val="auto"/>
        </w:rPr>
      </w:pPr>
    </w:p>
    <w:p>
      <w:pPr>
        <w:ind w:left="5660" w:hanging="111"/>
        <w:spacing w:after="0"/>
        <w:tabs>
          <w:tab w:leader="none" w:pos="56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1420"/>
          </w:cols>
          <w:pgMar w:left="240" w:top="631" w:right="239" w:bottom="1440" w:gutter="0" w:footer="0" w:header="0"/>
        </w:sectPr>
      </w:pPr>
    </w:p>
    <w:bookmarkStart w:id="124" w:name="page125"/>
    <w:bookmarkEnd w:id="124"/>
    <w:p>
      <w:pPr>
        <w:ind w:left="1740" w:hanging="435"/>
        <w:spacing w:after="0"/>
        <w:tabs>
          <w:tab w:leader="none" w:pos="17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w:t>
      </w:r>
      <w:r>
        <w:rPr>
          <w:rFonts w:ascii="Arial" w:cs="Arial" w:eastAsia="Arial" w:hAnsi="Arial"/>
          <w:sz w:val="22"/>
          <w:szCs w:val="22"/>
          <w:color w:val="auto"/>
        </w:rPr>
        <w:t>” means a trust fund established pursuant to the terms of the Plan, if any.</w:t>
      </w:r>
    </w:p>
    <w:p>
      <w:pPr>
        <w:spacing w:after="0" w:line="233" w:lineRule="exact"/>
        <w:rPr>
          <w:rFonts w:ascii="Arial" w:cs="Arial" w:eastAsia="Arial" w:hAnsi="Arial"/>
          <w:sz w:val="22"/>
          <w:szCs w:val="22"/>
          <w:color w:val="auto"/>
        </w:rPr>
      </w:pPr>
    </w:p>
    <w:p>
      <w:pPr>
        <w:ind w:firstLine="1305"/>
        <w:spacing w:after="0" w:line="276" w:lineRule="auto"/>
        <w:tabs>
          <w:tab w:leader="none" w:pos="1864"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corporation or individual(s) named in the agreement establishing the Trust and such successor and/or additional trustees as may be named in accordance with the Trust agreement.</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784"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Unforeseeable Emergency</w:t>
      </w:r>
      <w:r>
        <w:rPr>
          <w:rFonts w:ascii="Arial" w:cs="Arial" w:eastAsia="Arial" w:hAnsi="Arial"/>
          <w:sz w:val="22"/>
          <w:szCs w:val="22"/>
          <w:color w:val="auto"/>
        </w:rPr>
        <w:t>” means a severe financial hardship of the Participant resulting from an illness or accident of Participant, the Participant’s spouse, Beneficiary or dependent of Participant (as defined in Section 152 of the Code, without regard to (b)(1), (b)(2) and (d)(1)(B)), loss of Participant’s property due to casualty, or other similar extraordinary and unforeseeable circumstances arising as a result of events beyond the control of Participant, as described in Treasury regulations 1.409A-3(i)(3) or succeeding guidance.</w:t>
      </w:r>
    </w:p>
    <w:p>
      <w:pPr>
        <w:spacing w:after="0" w:line="190" w:lineRule="exact"/>
        <w:rPr>
          <w:sz w:val="20"/>
          <w:szCs w:val="20"/>
          <w:color w:val="auto"/>
        </w:rPr>
      </w:pPr>
    </w:p>
    <w:p>
      <w:pPr>
        <w:jc w:val="both"/>
        <w:ind w:firstLine="1305"/>
        <w:spacing w:after="0" w:line="260" w:lineRule="auto"/>
        <w:tabs>
          <w:tab w:leader="none" w:pos="1853"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Valuation Date</w:t>
      </w:r>
      <w:r>
        <w:rPr>
          <w:rFonts w:ascii="Arial" w:cs="Arial" w:eastAsia="Arial" w:hAnsi="Arial"/>
          <w:sz w:val="22"/>
          <w:szCs w:val="22"/>
          <w:color w:val="auto"/>
        </w:rPr>
        <w:t>” means the date the assets in an Account are valued. The value of the assets is their current value, if that Valuation Date is a Trading Day. In the event that the day of the transaction is not a Trading Day, the Participant’s Account shall be valued as of the most recently concluded Trading Day.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Date of Participation</w:t>
      </w:r>
      <w:r>
        <w:rPr>
          <w:rFonts w:ascii="Arial" w:cs="Arial" w:eastAsia="Arial" w:hAnsi="Arial"/>
          <w:sz w:val="22"/>
          <w:szCs w:val="22"/>
          <w:color w:val="auto"/>
        </w:rPr>
        <w:t>. An Eligible Employee or Outside Director becomes a participant by providing the Administrator with a completed Deferral Contribution election form as described in Section 3.1(a). They begin participating in the Plan as of the next payroll period (if an Employee) or date of service (if an Outside Director) following the acceptance of the form by the Administrator.</w:t>
      </w:r>
    </w:p>
    <w:p>
      <w:pPr>
        <w:spacing w:after="0" w:line="18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Resumption of Participation Following Return to Service</w:t>
      </w:r>
      <w:r>
        <w:rPr>
          <w:rFonts w:ascii="Arial" w:cs="Arial" w:eastAsia="Arial" w:hAnsi="Arial"/>
          <w:sz w:val="19"/>
          <w:szCs w:val="19"/>
          <w:color w:val="auto"/>
        </w:rPr>
        <w:t>. If a Participant ceases to be an Employee or Outside Director and thereafter returns to the service of the Employer he or she will again become a Participant after he or she becomes an Eligible Employee and files with the Administrator an election to defer Compensation as provided in Section 3.1(b).</w:t>
      </w:r>
    </w:p>
    <w:p>
      <w:pPr>
        <w:spacing w:after="0" w:line="1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Change in Employment Status</w:t>
      </w:r>
      <w:r>
        <w:rPr>
          <w:rFonts w:ascii="Arial" w:cs="Arial" w:eastAsia="Arial" w:hAnsi="Arial"/>
          <w:sz w:val="22"/>
          <w:szCs w:val="22"/>
          <w:color w:val="auto"/>
        </w:rPr>
        <w:t>. If any Participant continues in the employ of the Employer but ceases to be an Eligible Employee, the individual shall continue to be a Participant until the entire amount of his benefit is distributed. However, the Participant shall not be entitled to make Deferral Contributions during the period that he is not an Eligible Employee. In the event that the Participant subsequently again becomes an Eligible Employee, the individual shall resume active participation as provided in Section 3.1(b).</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420"/>
          </w:cols>
          <w:pgMar w:left="240" w:top="63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CONTRIBUTIONS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Deferral Contributions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1743"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Newly Eligible Participants</w:t>
      </w:r>
      <w:r>
        <w:rPr>
          <w:rFonts w:ascii="Arial" w:cs="Arial" w:eastAsia="Arial" w:hAnsi="Arial"/>
          <w:sz w:val="19"/>
          <w:szCs w:val="19"/>
          <w:color w:val="auto"/>
        </w:rPr>
        <w:t>. Within thirty days after first becoming eligible for the Plan, an Eligible Employee or Outside Director may make an irrevocable election to defer Compensation. For this election to be valid, the Participant must complete an election form using procedures established by the Administrator. The properly completed election form shall become effective for Employees with the first payroll period commencing after the receipt of their election by the Administrator or its delegate and with respect to Outside Directors on the first day of service following the receipt of their election by the Administrator or its delegate. Failure to deliver a Deferral Contribution election form within the thirty-day period prevents the newly eligible Participant from making a Deferral Contribution until the following Plan Year as provided in (b) below.</w:t>
      </w:r>
    </w:p>
    <w:p>
      <w:pPr>
        <w:spacing w:after="0" w:line="152" w:lineRule="exact"/>
        <w:rPr>
          <w:rFonts w:ascii="Arial" w:cs="Arial" w:eastAsia="Arial" w:hAnsi="Arial"/>
          <w:sz w:val="19"/>
          <w:szCs w:val="19"/>
          <w:color w:val="auto"/>
        </w:rPr>
      </w:pPr>
    </w:p>
    <w:p>
      <w:pPr>
        <w:jc w:val="both"/>
        <w:ind w:firstLine="1305"/>
        <w:spacing w:after="0" w:line="251" w:lineRule="auto"/>
        <w:tabs>
          <w:tab w:leader="none" w:pos="172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Annual Open Enrollment</w:t>
      </w:r>
      <w:r>
        <w:rPr>
          <w:rFonts w:ascii="Arial" w:cs="Arial" w:eastAsia="Arial" w:hAnsi="Arial"/>
          <w:sz w:val="22"/>
          <w:szCs w:val="22"/>
          <w:color w:val="auto"/>
        </w:rPr>
        <w:t>. For each succeeding Plan Year, an irrevocable Deferral Contribution election for that Plan Year shall be made by timely completing a Deferral Contribution election form, in accordance with the Administrator’s rules and procedures, during the open enrollment period specified by the Administrator before the end of the Plan Year preceding the Plan Year for which the election is made. If no such election form is timely delivered for the following Plan Year, the Deferral Contribution amount for that Plan Year shall be zero.</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7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Deferral Contribution Limits</w:t>
      </w:r>
      <w:r>
        <w:rPr>
          <w:rFonts w:ascii="Arial" w:cs="Arial" w:eastAsia="Arial" w:hAnsi="Arial"/>
          <w:sz w:val="22"/>
          <w:szCs w:val="22"/>
          <w:color w:val="auto"/>
        </w:rPr>
        <w:t>. A Deferral Contribution election cannot reduce the Participant’s Compensation by a specified whole percentage not exceeding, (i) for Eligible Employees, 50% of their Base Salary and 100% of their Bonuses and Commissions, and (ii) for Outside Directors, 100% of their Compensation, equal in either case to whole number multiples of one (1) percent.</w:t>
      </w:r>
    </w:p>
    <w:p>
      <w:pPr>
        <w:spacing w:after="0" w:line="185" w:lineRule="exact"/>
        <w:rPr>
          <w:rFonts w:ascii="Arial" w:cs="Arial" w:eastAsia="Arial" w:hAnsi="Arial"/>
          <w:sz w:val="22"/>
          <w:szCs w:val="22"/>
          <w:color w:val="auto"/>
        </w:rPr>
      </w:pPr>
    </w:p>
    <w:p>
      <w:pPr>
        <w:jc w:val="both"/>
        <w:ind w:firstLine="1305"/>
        <w:spacing w:after="0" w:line="291" w:lineRule="auto"/>
        <w:tabs>
          <w:tab w:leader="none" w:pos="179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Elections</w:t>
      </w:r>
      <w:r>
        <w:rPr>
          <w:rFonts w:ascii="Arial" w:cs="Arial" w:eastAsia="Arial" w:hAnsi="Arial"/>
          <w:sz w:val="19"/>
          <w:szCs w:val="19"/>
          <w:color w:val="auto"/>
        </w:rPr>
        <w:t>. The Deferral Contribution election shall not be effective with respect to Compensation previously earned. Under no circumstances may an election to defer Compensation be adopted retroactively. An election once made will remain in effect for the duration of the Plan Year, except a Participant may revoke or modify the election during the initial or annual enrollment period, as applicable. A Participant may not revoke an election to defer Compensation for a Plan Year during that year, unless the Participant receives a distribution due to an Unforeseeable Emergency, as provided in Section 6.3, or a hardship distribution under the Employer’s 401(k) plan. In that situation, the Participant’s Deferral Contribution shall cease as of the first payment of Compensation after the distribution. A new election will apply only to Compensation payable during the following Plan Year. Amounts credited to a Participant’s Account prior to the effective date of any new, modified or revoked election will not be affected and will be paid in accordance with that prior election.</w:t>
      </w:r>
    </w:p>
    <w:p>
      <w:pPr>
        <w:spacing w:after="0" w:line="15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Accounts</w:t>
      </w:r>
      <w:r>
        <w:rPr>
          <w:rFonts w:ascii="Arial" w:cs="Arial" w:eastAsia="Arial" w:hAnsi="Arial"/>
          <w:sz w:val="19"/>
          <w:szCs w:val="19"/>
          <w:color w:val="auto"/>
        </w:rPr>
        <w:t>. The Employer shall credit the Deferral Contribution to the Account maintained on behalf of the Participant.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420"/>
          </w:cols>
          <w:pgMar w:left="240" w:top="62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PARTICIPANTS’ ACCOUNTS</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Individual Accounts</w:t>
      </w:r>
      <w:r>
        <w:rPr>
          <w:rFonts w:ascii="Arial" w:cs="Arial" w:eastAsia="Arial" w:hAnsi="Arial"/>
          <w:sz w:val="22"/>
          <w:szCs w:val="22"/>
          <w:color w:val="auto"/>
        </w:rPr>
        <w:t>. The Administrator will establish and maintain a separate Account for each Participant which will reflect Deferral Contributions credited to the Account on behalf of the Participant and any contributions, distributions, earnings, expenses, gains and losses credited thereto, attributable to the investments made with the amounts in the Participant’s Account. Participants will be furnished statements of their Account values at least once each Plan Year. The date of any contribution, distribution or statement of Account is a Valuation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INVESTMENT OF CONTRIBUTIONS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Manner of Investment</w:t>
      </w:r>
      <w:r>
        <w:rPr>
          <w:rFonts w:ascii="Arial" w:cs="Arial" w:eastAsia="Arial" w:hAnsi="Arial"/>
          <w:sz w:val="22"/>
          <w:szCs w:val="22"/>
          <w:color w:val="auto"/>
        </w:rPr>
        <w:t>. The Administrator will select the investment options available under the Plan for Participants to invest their Accounts in as provided in Section 5.2.</w:t>
      </w:r>
    </w:p>
    <w:p>
      <w:pPr>
        <w:spacing w:after="0" w:line="16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Investment Decisions</w:t>
      </w:r>
      <w:r>
        <w:rPr>
          <w:rFonts w:ascii="Arial" w:cs="Arial" w:eastAsia="Arial" w:hAnsi="Arial"/>
          <w:sz w:val="19"/>
          <w:szCs w:val="19"/>
          <w:color w:val="auto"/>
        </w:rPr>
        <w:t>. The Participant may direct the investment and reinvestment of the Account among the eligible investments selected by the Administrator. If the Participant fails to do so, the Administrator will invest the Participant’s Account.</w:t>
      </w:r>
    </w:p>
    <w:p>
      <w:pPr>
        <w:spacing w:after="0" w:line="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 dividends, interest, gains and distributions of any nature earned in respect of an investment alternative in which the Account is invested shall be credited to the Account as of any Valuation Date in an amount equal to the net increase or decrease in the net asset value of each investment option since the preceding Valuation Date in accordance with the ratio that the portion of the Account of each Participant that is invested in the designated investment option bears to the aggregate of all amounts invested in the same investment option.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Expenses that are attributable to the acquisition of actual investments shall be charged to the Account of the Participant for which a corresponding investment is made.</w:t>
      </w:r>
    </w:p>
    <w:p>
      <w:pPr>
        <w:spacing w:after="0" w:line="175"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Investment Gains or Losses Upon an Installment Distribution</w:t>
      </w:r>
      <w:r>
        <w:rPr>
          <w:rFonts w:ascii="Arial" w:cs="Arial" w:eastAsia="Arial" w:hAnsi="Arial"/>
          <w:sz w:val="19"/>
          <w:szCs w:val="19"/>
          <w:color w:val="auto"/>
        </w:rPr>
        <w:t>. A Participant electing an installment distribution option under Section 6.1(b) shall continue to be credited with any earnings, gains or losses on their Account once the installments begin.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Distributions to Participants and Beneficiaries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Distribution Date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70" w:lineRule="auto"/>
        <w:tabs>
          <w:tab w:leader="none" w:pos="2369"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Regular Participants</w:t>
      </w:r>
      <w:r>
        <w:rPr>
          <w:rFonts w:ascii="Arial" w:cs="Arial" w:eastAsia="Arial" w:hAnsi="Arial"/>
          <w:sz w:val="21"/>
          <w:szCs w:val="21"/>
          <w:color w:val="auto"/>
        </w:rPr>
        <w:t>. The portion of a Participant’s Account consisting of Deferral Contributions made in 2006 or later and any related earnings shall be distributed upon the earlier of (1) the Participant’s Separation From Service (subject to (ii) below), (2) the Participant’s Disability, (3) a specified time under Section 6.4 hereunder, (4) a Change of Control, (5) the occurrence of an Unforeseeable Emergency, or (6) an event under Section 6.7.</w:t>
      </w:r>
    </w:p>
    <w:p>
      <w:pPr>
        <w:spacing w:after="0" w:line="200" w:lineRule="exact"/>
        <w:rPr>
          <w:rFonts w:ascii="Arial" w:cs="Arial" w:eastAsia="Arial" w:hAnsi="Arial"/>
          <w:sz w:val="21"/>
          <w:szCs w:val="21"/>
          <w:color w:val="auto"/>
        </w:rPr>
      </w:pPr>
    </w:p>
    <w:p>
      <w:pPr>
        <w:spacing w:after="0" w:line="203" w:lineRule="exact"/>
        <w:rPr>
          <w:rFonts w:ascii="Arial" w:cs="Arial" w:eastAsia="Arial" w:hAnsi="Arial"/>
          <w:sz w:val="21"/>
          <w:szCs w:val="21"/>
          <w:color w:val="auto"/>
        </w:rPr>
      </w:pPr>
    </w:p>
    <w:p>
      <w:pPr>
        <w:ind w:left="5660" w:hanging="111"/>
        <w:spacing w:after="0"/>
        <w:tabs>
          <w:tab w:leader="none" w:pos="5660" w:val="left"/>
        </w:tabs>
        <w:numPr>
          <w:ilvl w:val="2"/>
          <w:numId w:val="74"/>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1420"/>
          </w:cols>
          <w:pgMar w:left="240" w:top="625" w:right="239" w:bottom="1440" w:gutter="0" w:footer="0" w:header="0"/>
        </w:sectPr>
      </w:pPr>
    </w:p>
    <w:bookmarkStart w:id="127" w:name="page128"/>
    <w:bookmarkEnd w:id="127"/>
    <w:p>
      <w:pPr>
        <w:jc w:val="both"/>
        <w:ind w:firstLine="1953"/>
        <w:spacing w:after="0" w:line="270" w:lineRule="auto"/>
        <w:tabs>
          <w:tab w:leader="none" w:pos="2389"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Specified Employee Participants</w:t>
      </w:r>
      <w:r>
        <w:rPr>
          <w:rFonts w:ascii="Arial" w:cs="Arial" w:eastAsia="Arial" w:hAnsi="Arial"/>
          <w:sz w:val="21"/>
          <w:szCs w:val="21"/>
          <w:color w:val="auto"/>
        </w:rPr>
        <w:t>. Upon a Specified Employee’s Separation From Service, that Specified Employee’s Account shall be distributed six months after the Specified Employee’s Separation from Service (or the Specified Employee’s death, if earlier). If the Specified Employee has chosen an installment distribution option, any installments delayed by this paragraph shall be added to and included in the first installment not delayed by this paragraph.</w:t>
      </w:r>
    </w:p>
    <w:p>
      <w:pPr>
        <w:spacing w:after="0" w:line="169" w:lineRule="exact"/>
        <w:rPr>
          <w:rFonts w:ascii="Arial" w:cs="Arial" w:eastAsia="Arial" w:hAnsi="Arial"/>
          <w:sz w:val="21"/>
          <w:szCs w:val="21"/>
          <w:color w:val="auto"/>
        </w:rPr>
      </w:pPr>
    </w:p>
    <w:p>
      <w:pPr>
        <w:jc w:val="both"/>
        <w:ind w:firstLine="1305"/>
        <w:spacing w:after="0" w:line="278" w:lineRule="auto"/>
        <w:tabs>
          <w:tab w:leader="none" w:pos="1769"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Lump-Sum or Installment Payment Initial Elections</w:t>
      </w:r>
      <w:r>
        <w:rPr>
          <w:rFonts w:ascii="Arial" w:cs="Arial" w:eastAsia="Arial" w:hAnsi="Arial"/>
          <w:sz w:val="21"/>
          <w:szCs w:val="21"/>
          <w:color w:val="auto"/>
        </w:rPr>
        <w:t>. At the same time a Participant elects the amount of their Deferral Contributions for any Plan Year, the Participant also elects to have their Deferral Contribution for that Plan Year paid out, upon the events in Section 6.1(a)(i)(1)-(5), in one of the following forms of payment:</w:t>
      </w:r>
    </w:p>
    <w:p>
      <w:pPr>
        <w:spacing w:after="0" w:line="160" w:lineRule="exact"/>
        <w:rPr>
          <w:rFonts w:ascii="Arial" w:cs="Arial" w:eastAsia="Arial" w:hAnsi="Arial"/>
          <w:sz w:val="21"/>
          <w:szCs w:val="21"/>
          <w:color w:val="auto"/>
        </w:rPr>
      </w:pPr>
    </w:p>
    <w:p>
      <w:pPr>
        <w:ind w:left="2340" w:hanging="387"/>
        <w:spacing w:after="0"/>
        <w:tabs>
          <w:tab w:leader="none" w:pos="234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lump sum cash payment;</w:t>
      </w:r>
    </w:p>
    <w:p>
      <w:pPr>
        <w:spacing w:after="0" w:line="233" w:lineRule="exact"/>
        <w:rPr>
          <w:sz w:val="20"/>
          <w:szCs w:val="20"/>
          <w:color w:val="auto"/>
        </w:rPr>
      </w:pPr>
    </w:p>
    <w:p>
      <w:pPr>
        <w:ind w:left="2400" w:hanging="447"/>
        <w:spacing w:after="0"/>
        <w:tabs>
          <w:tab w:leader="none" w:pos="24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20 quarterly installments;</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40 quarterly installments; or</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60 quarterly installments.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Participants may elect a different form of distribution for each Plan Year’s Deferral Contribution. If a Participant fails to designate a form of distribution, that year’s Deferral Contribution shall be paid as a lump sum.</w:t>
      </w:r>
    </w:p>
    <w:p>
      <w:pPr>
        <w:spacing w:after="0" w:line="175" w:lineRule="exact"/>
        <w:rPr>
          <w:sz w:val="20"/>
          <w:szCs w:val="20"/>
          <w:color w:val="auto"/>
        </w:rPr>
      </w:pPr>
    </w:p>
    <w:p>
      <w:pPr>
        <w:jc w:val="both"/>
        <w:ind w:firstLine="1305"/>
        <w:spacing w:after="0" w:line="251" w:lineRule="auto"/>
        <w:tabs>
          <w:tab w:leader="none" w:pos="177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Subsequent Election to Delay or Change Form of Payment</w:t>
      </w:r>
      <w:r>
        <w:rPr>
          <w:rFonts w:ascii="Arial" w:cs="Arial" w:eastAsia="Arial" w:hAnsi="Arial"/>
          <w:sz w:val="22"/>
          <w:szCs w:val="22"/>
          <w:color w:val="auto"/>
        </w:rPr>
        <w:t>. A Participant may elect to delay a distribution or change the form of payment for other distributions by filing a subsequent election, in the form required by the Administrator. Such subsequent election shall not be effective for a period of one (1) year after being made, and must also delay the payment by a period of at least five (5) years. In the absence of such subsequent election, the Participant’s Account shall be distributed in accordance with their previously filed Account elections.</w:t>
      </w:r>
    </w:p>
    <w:p>
      <w:pPr>
        <w:spacing w:after="0" w:line="189" w:lineRule="exact"/>
        <w:rPr>
          <w:rFonts w:ascii="Arial" w:cs="Arial" w:eastAsia="Arial" w:hAnsi="Arial"/>
          <w:sz w:val="22"/>
          <w:szCs w:val="22"/>
          <w:color w:val="auto"/>
        </w:rPr>
      </w:pPr>
    </w:p>
    <w:p>
      <w:pPr>
        <w:jc w:val="both"/>
        <w:ind w:firstLine="1305"/>
        <w:spacing w:after="0" w:line="251" w:lineRule="auto"/>
        <w:tabs>
          <w:tab w:leader="none" w:pos="181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Lump-Sum Distribution Timing</w:t>
      </w:r>
      <w:r>
        <w:rPr>
          <w:rFonts w:ascii="Arial" w:cs="Arial" w:eastAsia="Arial" w:hAnsi="Arial"/>
          <w:sz w:val="22"/>
          <w:szCs w:val="22"/>
          <w:color w:val="auto"/>
        </w:rPr>
        <w:t>. For Participants who elect to receive a lump-sum distribution, the value of their Account (or portion thereof specified in the Participant’s election) shall be paid in a cash lump-sum payment as soon as is practicable following the distribution event, or, for Specified Employees who have elected a Separation From Service distribution event, as soon as is practicable six months after the date upon which they incur a Separation From Service (or if earlier, the date of the Specified Employee’s death).</w:t>
      </w:r>
    </w:p>
    <w:p>
      <w:pPr>
        <w:spacing w:after="0" w:line="189" w:lineRule="exact"/>
        <w:rPr>
          <w:rFonts w:ascii="Arial" w:cs="Arial" w:eastAsia="Arial" w:hAnsi="Arial"/>
          <w:sz w:val="22"/>
          <w:szCs w:val="22"/>
          <w:color w:val="auto"/>
        </w:rPr>
      </w:pPr>
    </w:p>
    <w:p>
      <w:pPr>
        <w:jc w:val="both"/>
        <w:ind w:firstLine="1305"/>
        <w:spacing w:after="0" w:line="266" w:lineRule="auto"/>
        <w:tabs>
          <w:tab w:leader="none" w:pos="173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Lump-Sum Distributions for Certain Accounts</w:t>
      </w:r>
      <w:r>
        <w:rPr>
          <w:rFonts w:ascii="Arial" w:cs="Arial" w:eastAsia="Arial" w:hAnsi="Arial"/>
          <w:sz w:val="21"/>
          <w:szCs w:val="21"/>
          <w:color w:val="auto"/>
        </w:rPr>
        <w:t>. Notwithstanding the Participant’s election under Section 6.1(b) or (c) hereof, if the value of a Participant’s Account is less than $25,000 on the date of the Participant’s distribution event under Section 6.1(a), then the Participant’s Account shall be paid in a cash lump sum payment as soon as is practicable following the distribution event, or, for Specified Employees, as soon as is practicable six months after the date upon which they incur a Separation From Service (or if earlier, the date of the Specified Employee’s death).</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5660" w:hanging="111"/>
        <w:spacing w:after="0"/>
        <w:tabs>
          <w:tab w:leader="none" w:pos="5660" w:val="left"/>
        </w:tabs>
        <w:numPr>
          <w:ilvl w:val="1"/>
          <w:numId w:val="78"/>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420"/>
          </w:cols>
          <w:pgMar w:left="240" w:top="631" w:right="239" w:bottom="1440" w:gutter="0" w:footer="0" w:header="0"/>
        </w:sectPr>
      </w:pPr>
    </w:p>
    <w:bookmarkStart w:id="128" w:name="page129"/>
    <w:bookmarkEnd w:id="128"/>
    <w:p>
      <w:pPr>
        <w:jc w:val="both"/>
        <w:ind w:firstLine="1305"/>
        <w:spacing w:after="0" w:line="250" w:lineRule="auto"/>
        <w:tabs>
          <w:tab w:leader="none" w:pos="174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Installment Amounts</w:t>
      </w:r>
      <w:r>
        <w:rPr>
          <w:rFonts w:ascii="Arial" w:cs="Arial" w:eastAsia="Arial" w:hAnsi="Arial"/>
          <w:sz w:val="22"/>
          <w:szCs w:val="22"/>
          <w:color w:val="auto"/>
        </w:rPr>
        <w:t>. For purposes of this Section 6.1, installment payments shall be determined by dividing the value of the Participant’s Account on or immediately before each installment by the number of installment payments remaining. Each installment shall be treated as a separate payment. Installment payments shall commence as soon as is practicable following the distribution event, or, for Specified Employees following a Separation from Service distribution event, as soon as is practicable six months after the date upon which they incur a Separation From Service (or if earlier, the date of the Specified Employee’s death).</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Distribution Following a Change of Control</w:t>
      </w:r>
      <w:r>
        <w:rPr>
          <w:rFonts w:ascii="Arial" w:cs="Arial" w:eastAsia="Arial" w:hAnsi="Arial"/>
          <w:sz w:val="22"/>
          <w:szCs w:val="22"/>
          <w:color w:val="auto"/>
        </w:rPr>
        <w:t>. In the event of a Change of Control, Participant’s Accounts shall be treated as specified in their applicable election forms. Any distributions payable upon a Change of Control shall be made or begin as soon as practicable after the Change of Control.</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Distributions Due to an Unforeseeable Emergency</w:t>
      </w:r>
      <w:r>
        <w:rPr>
          <w:rFonts w:ascii="Arial" w:cs="Arial" w:eastAsia="Arial" w:hAnsi="Arial"/>
          <w:sz w:val="22"/>
          <w:szCs w:val="22"/>
          <w:color w:val="auto"/>
        </w:rPr>
        <w:t>. If the Administrator determines a Participant has an Unforeseeable Emergency, the Administrator shall allow the Participant to withdraw up to one hundred percent (100%) of his or her Account as may be required to meet a sudden Unforeseeable Emergency. Such distribution shall be subject to Treasury Regulations 1.409A-3(i)(3) as well as the following provisions.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amount distributed for an Unforeseeable Emergency is limited to the amount necessary to satisfy the emergency plus amounts necessary to pay taxes reasonably anticipated as a result of the distribution. The Administrator will determine the amount that is reasonably necessary after taking into account the extent to which such hardship is or may be relieved through reimbursement or compensation by insurance or otherwise (including a hardship distribution from the Participant’s account in the Employer’s 401(k) plan) or by liquidation of the Participant’s assets (to the extent the liquidation of such assets would not itself cause severe financial hardship) and cessation of Deferral Contributions.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Scheduled In-Service Distribution</w:t>
      </w:r>
      <w:r>
        <w:rPr>
          <w:rFonts w:ascii="Arial" w:cs="Arial" w:eastAsia="Arial" w:hAnsi="Arial"/>
          <w:sz w:val="21"/>
          <w:szCs w:val="21"/>
          <w:color w:val="auto"/>
        </w:rPr>
        <w:t>. A Participant may elect, as provided in his or her Deferral Contribution election, to receive one or more scheduled in-service (i.e., commencing while employed by the Company, or, for Outside Director Participants, while serving as a Board member) distributions from their Account. A scheduled in-service distribution may be postponed, provided that the postponement occurs at least twelve months before the payment, defers such payment at least five years and otherwise complies with Treasury regulation 1.409A-2(b). In the event the Participant dies, incurs a Disability, a Separation From Service or a Change of Control occurs prior to a scheduled in-service distribution or after they have begun, the in-service distribution election shall be without further force and effect and the applicable Separation From Service, Disability, death or Change of Control distribution provisions of the Plan shall control.</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Death</w:t>
      </w:r>
      <w:r>
        <w:rPr>
          <w:rFonts w:ascii="Arial" w:cs="Arial" w:eastAsia="Arial" w:hAnsi="Arial"/>
          <w:sz w:val="21"/>
          <w:szCs w:val="21"/>
          <w:color w:val="auto"/>
        </w:rPr>
        <w:t>. If a Participant dies before the distribution of his or her Account has commenced, or before such distribution has been completed, his or her designated Beneficiary or Beneficiaries will be entitled to receive the balance or remaining balance of his or her Account based on the distribution schedule elected in the Participant’s deferral elections. Distribution to the Beneficiary or Beneficiaries will be made or begin in accordance with the Participant’s elections and the rules of Section 6.1 hereof as soon as administratively feasible after the Participant’s death if not already commenced.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420"/>
          </w:cols>
          <w:pgMar w:left="240" w:top="631" w:right="239" w:bottom="1440" w:gutter="0" w:footer="0" w:header="0"/>
        </w:sectPr>
      </w:pPr>
    </w:p>
    <w:bookmarkStart w:id="129" w:name="page130"/>
    <w:bookmarkEnd w:id="129"/>
    <w:p>
      <w:pPr>
        <w:jc w:val="both"/>
        <w:ind w:firstLine="648"/>
        <w:spacing w:after="0" w:line="253" w:lineRule="auto"/>
        <w:rPr>
          <w:sz w:val="20"/>
          <w:szCs w:val="20"/>
          <w:color w:val="auto"/>
        </w:rPr>
      </w:pPr>
      <w:r>
        <w:rPr>
          <w:rFonts w:ascii="Arial" w:cs="Arial" w:eastAsia="Arial" w:hAnsi="Arial"/>
          <w:sz w:val="22"/>
          <w:szCs w:val="22"/>
          <w:color w:val="auto"/>
        </w:rPr>
        <w:t>A Participant may designate a Beneficiary or Beneficiaries, or change any prior designation of Beneficiary or Beneficiaries by giving notice to the Administrator on a form designated by the Administrator. If more than one person is designated as the Beneficiary, their respective interests shall be as indicated on the designation form.</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 copy of the death certificate or other sufficient documentation of the Participant’s death must be filed with and approved by the Administrator. If upon the death of the Participant there is, in the Administrator’s discretion, no designated Beneficiary for part or all of the Participant’s Account, such amount will be paid to the Participant’s surviving spouse or, if none, to the Participant’s estate (such spouse or estate shall be deemed to be the Beneficiary for purposes of the Plan) as soon as is practicable. If a Beneficiary dies after benefits to such Beneficiary have commenced, but before they have been completed, and, in the Administrator’s discretion, no person has been designated to receive such remaining benefits, then such benefits shall be paid to the deceased Beneficiary’s estate as soon as is practicable.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Disability</w:t>
      </w:r>
      <w:r>
        <w:rPr>
          <w:rFonts w:ascii="Arial" w:cs="Arial" w:eastAsia="Arial" w:hAnsi="Arial"/>
          <w:sz w:val="22"/>
          <w:szCs w:val="22"/>
          <w:color w:val="auto"/>
        </w:rPr>
        <w:t>. If a Participant suffers a Disability before the distribution of his or her Account has commenced, or before such distribution has been completed, the Participant or their conservator or guardian will be entitled to receive the balance or remaining balance of the Participant’s Account based on the schedule elected in the Participant’s deferral election, plus any amounts thereafter credited to his or her Account. Distribution to the Participant, conservator or guardian will be made in accordance with the Participant’s elections and the rules of Section 6.1 hereof, as soon as administratively feasible after the Participant’s Disability is determined.</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Permitted Acceleration</w:t>
      </w:r>
      <w:r>
        <w:rPr>
          <w:rFonts w:ascii="Arial" w:cs="Arial" w:eastAsia="Arial" w:hAnsi="Arial"/>
          <w:sz w:val="22"/>
          <w:szCs w:val="22"/>
          <w:color w:val="auto"/>
        </w:rPr>
        <w:t>. Except as otherwise provided in Treasury regulation 1.409A-3(j), the Plan may accelerate the time or schedule of any payment or distribution:</w:t>
      </w:r>
    </w:p>
    <w:p>
      <w:pPr>
        <w:spacing w:after="0" w:line="161" w:lineRule="exact"/>
        <w:rPr>
          <w:sz w:val="20"/>
          <w:szCs w:val="20"/>
          <w:color w:val="auto"/>
        </w:rPr>
      </w:pPr>
    </w:p>
    <w:p>
      <w:pPr>
        <w:ind w:left="1720" w:hanging="415"/>
        <w:spacing w:after="0"/>
        <w:tabs>
          <w:tab w:leader="none" w:pos="17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to an individual other than the Participant as is necessary to comply with a Domestic Relations Order.</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comply with a certificate of divestiture as defined in Code Section 1043(b)(2);</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to pay any employment or income tax withholding imposed on Deferral Contributions previously made by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Participant; or</w:t>
      </w:r>
    </w:p>
    <w:p>
      <w:pPr>
        <w:spacing w:after="0" w:line="215" w:lineRule="exact"/>
        <w:rPr>
          <w:sz w:val="20"/>
          <w:szCs w:val="20"/>
          <w:color w:val="auto"/>
        </w:rPr>
      </w:pPr>
    </w:p>
    <w:p>
      <w:pPr>
        <w:jc w:val="both"/>
        <w:ind w:firstLine="1305"/>
        <w:spacing w:after="0" w:line="260" w:lineRule="auto"/>
        <w:tabs>
          <w:tab w:leader="none" w:pos="19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the Plan or the Participant’s Deferral Contributions do not satisfy Code Section 409A or any related regulations or IRS guidance, but limited to the amount required to be included in the Participant’s income caused by the failure to comply.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Notice to Trustee</w:t>
      </w:r>
      <w:r>
        <w:rPr>
          <w:rFonts w:ascii="Arial" w:cs="Arial" w:eastAsia="Arial" w:hAnsi="Arial"/>
          <w:sz w:val="22"/>
          <w:szCs w:val="22"/>
          <w:color w:val="auto"/>
        </w:rPr>
        <w:t>. The Administrator will notify the Trustee, if any, in writing whenever any Participant or Beneficiary is entitled to receive benefits under the Plan.</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Time of Distribution</w:t>
      </w:r>
      <w:r>
        <w:rPr>
          <w:rFonts w:ascii="Arial" w:cs="Arial" w:eastAsia="Arial" w:hAnsi="Arial"/>
          <w:sz w:val="22"/>
          <w:szCs w:val="22"/>
          <w:color w:val="auto"/>
        </w:rPr>
        <w:t>. In no event will distribution to a Participant be made later than the date specified by the Participant in his or her election to defer Compensation; provided, however, that if a Participant becomes a Specified Employee, his or her election regarding Separation from Service shall be subject to the six (6) month distribution delay requirements of Section 6.1(a)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420"/>
          </w:cols>
          <w:pgMar w:left="240" w:top="631" w:right="239" w:bottom="1440" w:gutter="0" w:footer="0" w:header="0"/>
        </w:sectPr>
      </w:pPr>
    </w:p>
    <w:bookmarkStart w:id="130" w:name="page131"/>
    <w:bookmarkEnd w:id="130"/>
    <w:p>
      <w:pPr>
        <w:ind w:firstLine="8"/>
        <w:spacing w:after="0" w:line="263" w:lineRule="auto"/>
        <w:tabs>
          <w:tab w:leader="none" w:pos="377"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and Treasury regulations 1.409A-3(i)(2). Distributions shall be paid as soon as administratively feasible following the distribution event.</w:t>
      </w:r>
    </w:p>
    <w:p>
      <w:pPr>
        <w:spacing w:after="0" w:line="175"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Limitation on Distributions to Covered Employees Prior to a Change of Control</w:t>
      </w:r>
      <w:r>
        <w:rPr>
          <w:rFonts w:ascii="Arial" w:cs="Arial" w:eastAsia="Arial" w:hAnsi="Arial"/>
          <w:sz w:val="21"/>
          <w:szCs w:val="21"/>
          <w:color w:val="auto"/>
        </w:rPr>
        <w:t>. Notwithstanding any other provision of this Article VI, in the event that, prior to a Change of Control, the Participant is a “covered employee” as that term is defined in Section 162(m)(3) of the Code, or would be a covered employee if his or her Account were distributed in accordance with his or her election or early withdrawal request, the maximum amount which may be distributed from the Participant’s Account in any Plan Year shall not exceed one million dollars ($1,000,000) less the amount of compensation paid to the Participant in such Plan Year which is not “performance-based” (as defined in Code Section 162(m)(4)(C)), which amount shall be reasonably determined by the Administrator at the time of the proposed distribution. Any amount which is not distributed to the Participant in a Plan Year as a result of this limitation shall be distributed to the Participant in the next Plan Year, subject to compliance with the foregoing limitation set forth in this Section 6.10 and compliance with any six (6) month distribution delay requirements of Section 6.1(a)(ii) and Treasury regulation 1.409A-3(i)(2).</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Delays in Distributions</w:t>
      </w:r>
      <w:r>
        <w:rPr>
          <w:rFonts w:ascii="Arial" w:cs="Arial" w:eastAsia="Arial" w:hAnsi="Arial"/>
          <w:sz w:val="21"/>
          <w:szCs w:val="21"/>
          <w:color w:val="auto"/>
        </w:rPr>
        <w:t>. Notwithstanding any other Plan provision, any payment due to any Participant that would cause the Employer to violate a loan covenant, securities or other applicable laws or if a bona fide dispute exists over a Participant’s entitlement to the payment or the payment is administratively or economically impractical then the payment shall be delayed until no violation would occur, the dispute is resolved or the payment becomes practicable.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Tax Withholding</w:t>
      </w:r>
      <w:r>
        <w:rPr>
          <w:rFonts w:ascii="Arial" w:cs="Arial" w:eastAsia="Arial" w:hAnsi="Arial"/>
          <w:sz w:val="22"/>
          <w:szCs w:val="22"/>
          <w:color w:val="auto"/>
        </w:rPr>
        <w:t>. Distributions under this Article VI shall be subject to all applicable withholding requirements for state, federal and local income or employment taxes and to any other federal, state or local taxes that may be applicable to such payments.</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CHANGE OF CONTROL PROVISIONS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No New Participants Following Change of Control</w:t>
      </w:r>
      <w:r>
        <w:rPr>
          <w:rFonts w:ascii="Arial" w:cs="Arial" w:eastAsia="Arial" w:hAnsi="Arial"/>
          <w:sz w:val="22"/>
          <w:szCs w:val="22"/>
          <w:color w:val="auto"/>
        </w:rPr>
        <w:t>. No individual may begin participation in the Plan following a Change of Control.</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No Deferrals Following a Change of Control</w:t>
      </w:r>
      <w:r>
        <w:rPr>
          <w:rFonts w:ascii="Arial" w:cs="Arial" w:eastAsia="Arial" w:hAnsi="Arial"/>
          <w:sz w:val="22"/>
          <w:szCs w:val="22"/>
          <w:color w:val="auto"/>
        </w:rPr>
        <w:t>. Deferrals shall cease as of the date of a Change of Control, unless the acquirer expressly adopts and continues this Plan.</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20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Amendment Prior to and on and After a Change of Control</w:t>
      </w:r>
      <w:r>
        <w:rPr>
          <w:rFonts w:ascii="Arial" w:cs="Arial" w:eastAsia="Arial" w:hAnsi="Arial"/>
          <w:sz w:val="22"/>
          <w:szCs w:val="22"/>
          <w:color w:val="auto"/>
        </w:rPr>
        <w:t>. Prior to a Change of Control, the Company reserves the authority to amend or terminate the Plan by adopting a written amendment or a restated Plan document, executed by the Company only, in which the Company has indicated a change or changes in provisions previously elected by it. Such changes are to be effective on the effective date of such amendment or restated Plan document. Any such change notwithstanding, no Participant’s Account shall be reduced by such change below the amount to which the Participant would have been entitled if he had voluntarily left the employ 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420"/>
          </w:cols>
          <w:pgMar w:left="240" w:top="631" w:right="239" w:bottom="1440" w:gutter="0" w:footer="0" w:header="0"/>
        </w:sectPr>
      </w:pPr>
    </w:p>
    <w:bookmarkStart w:id="131" w:name="page132"/>
    <w:bookmarkEnd w:id="131"/>
    <w:p>
      <w:pPr>
        <w:ind w:right="40"/>
        <w:spacing w:after="0" w:line="247" w:lineRule="auto"/>
        <w:rPr>
          <w:sz w:val="20"/>
          <w:szCs w:val="20"/>
          <w:color w:val="auto"/>
        </w:rPr>
      </w:pPr>
      <w:r>
        <w:rPr>
          <w:rFonts w:ascii="Arial" w:cs="Arial" w:eastAsia="Arial" w:hAnsi="Arial"/>
          <w:sz w:val="22"/>
          <w:szCs w:val="22"/>
          <w:color w:val="auto"/>
        </w:rPr>
        <w:t>the Employer immediately prior to the date of the change. The Company may from time to time make any amendment to the Plan that may be necessary to satisfy the Code, ERISA or other applicable law. Prior to a Change of Control, the Board shall act on behalf of the Company for purposes of this Section. On and after a Change of Control, only the Administrator may amend the Plan; provided, however, that following a Change of Control, the Administrator may not increase the investment options available under the Plan, institute a guaranteed rate of return or take similar actions to materially increase the benefits of Participants, unless the Board’s consent is first obtained.</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Retroactive Amendments</w:t>
      </w:r>
      <w:r>
        <w:rPr>
          <w:rFonts w:ascii="Arial" w:cs="Arial" w:eastAsia="Arial" w:hAnsi="Arial"/>
          <w:sz w:val="22"/>
          <w:szCs w:val="22"/>
          <w:color w:val="auto"/>
        </w:rPr>
        <w:t>. An amendment made by the Company in accordance with Section 8.1 may be made effective on a date prior to the first day of the Plan Year in which it is adopted if such amendment is necessary or appropriate to enable the Plan (and Trust, if any) to satisfy the applicable requirements of the Code, ERISA or other applicable law or to conform the Plan to any change in federal law or to any regulations or ruling thereunder. Any retroactive amendment by the Company shall be subject to the provisions of Section 8.1.</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Plan Termination</w:t>
      </w:r>
      <w:r>
        <w:rPr>
          <w:rFonts w:ascii="Arial" w:cs="Arial" w:eastAsia="Arial" w:hAnsi="Arial"/>
          <w:sz w:val="22"/>
          <w:szCs w:val="22"/>
          <w:color w:val="auto"/>
        </w:rPr>
        <w:t>. The Company has adopted the Plan with the intention and expectation that contributions will be continued indefinitely. However, the Company has no obligation or liability whatsoever to maintain the Plan for any length of time and may discontinue contributions under the Plan or terminate the Plan at any time without any liability hereunder for any such discontinuance or termination; provided, however, that on and after a Change of Control, only the Administrator may terminate the Plan.</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Distribution upon Termination of the Plan</w:t>
      </w:r>
      <w:r>
        <w:rPr>
          <w:rFonts w:ascii="Arial" w:cs="Arial" w:eastAsia="Arial" w:hAnsi="Arial"/>
          <w:sz w:val="22"/>
          <w:szCs w:val="22"/>
          <w:color w:val="auto"/>
        </w:rPr>
        <w:t>. Upon termination of the Plan, no further Deferral Contributions shall be made under the Plan, but Accounts of Participants maintained under the Plan on the date of termination shall continue to be governed by the terms of the Plan until paid out in accordance with the terms of the Plan and Participants’ Deferral Contribution elections.</w:t>
      </w:r>
    </w:p>
    <w:p>
      <w:pPr>
        <w:spacing w:after="0" w:line="179"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TRUST</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Establishment of Trust</w:t>
      </w:r>
      <w:r>
        <w:rPr>
          <w:rFonts w:ascii="Arial" w:cs="Arial" w:eastAsia="Arial" w:hAnsi="Arial"/>
          <w:sz w:val="19"/>
          <w:szCs w:val="19"/>
          <w:color w:val="auto"/>
        </w:rPr>
        <w:t>. The Company may establish a Trust between the Company and the Trustee, in accordance with the terms and conditions as set forth in a separate agreement, under which assets are held, administered and managed, subject to the claims of the Company’s creditors in the event of the Company’s insolvency, until paid to Participants and their Beneficiaries as specified in the Plan. The Trust is intended to be treated as a grantor trust under the Code, and the establishment of the Trust is not intended to cause Participants to realize current income on amounts contributed thereto.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ectPr>
          <w:pgSz w:w="11900" w:h="16838" w:orient="portrait"/>
          <w:cols w:equalWidth="0" w:num="1">
            <w:col w:w="11420"/>
          </w:cols>
          <w:pgMar w:left="240" w:top="63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ARTICLE X</w:t>
      </w:r>
    </w:p>
    <w:p>
      <w:pPr>
        <w:spacing w:after="0" w:line="22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Communication to Participants</w:t>
      </w:r>
      <w:r>
        <w:rPr>
          <w:rFonts w:ascii="Arial" w:cs="Arial" w:eastAsia="Arial" w:hAnsi="Arial"/>
          <w:sz w:val="22"/>
          <w:szCs w:val="22"/>
          <w:color w:val="auto"/>
        </w:rPr>
        <w:t>. The Plan and any amendments will be communicated to all Participants by the Employer promptly after the Plan or amendment is adopted.</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Limitation of Rights</w:t>
      </w:r>
      <w:r>
        <w:rPr>
          <w:rFonts w:ascii="Arial" w:cs="Arial" w:eastAsia="Arial" w:hAnsi="Arial"/>
          <w:sz w:val="22"/>
          <w:szCs w:val="22"/>
          <w:color w:val="auto"/>
        </w:rPr>
        <w:t>. Neither the establishment of the Plan (and the Trust, if any), nor any amendment thereof, nor the creation of any fund or account, nor the payment of any benefits, will be construed as giving to any Participant or other person any legal or equitable right against the Employer, Administrator or Trustee, except as provided herein; and in no event will the terms of employment or service of any Participant be modified or in any way affected hereby. Participation in the Plan is not a guarantee of employment.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Spendthrift Provision</w:t>
      </w:r>
      <w:r>
        <w:rPr>
          <w:rFonts w:ascii="Arial" w:cs="Arial" w:eastAsia="Arial" w:hAnsi="Arial"/>
          <w:sz w:val="22"/>
          <w:szCs w:val="22"/>
          <w:color w:val="auto"/>
        </w:rPr>
        <w:t>. The benefits provided hereunder will not be subject to alienation, assignment, garnishment, attachment, execution or levy of any kind, either voluntarily or involuntarily, and any attempt to cause such benefits to be so subjected will not be recognized, except to such extent as may be required by law.</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Facility of Payment</w:t>
      </w:r>
      <w:r>
        <w:rPr>
          <w:rFonts w:ascii="Arial" w:cs="Arial" w:eastAsia="Arial" w:hAnsi="Arial"/>
          <w:sz w:val="21"/>
          <w:szCs w:val="21"/>
          <w:color w:val="auto"/>
        </w:rPr>
        <w:t>. In the event the Administrator determines in its complete discretion, on the basis of medical reports or other evidence satisfactory to the Administrator, that the recipient of any benefit under the Plan is incapable of handling his affairs by reason of minority, illness, infirmity or other incapacity, the Administrator may direct the Trustee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Trust for the payment of benefits hereunder to such recipient.</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Information between Company and Trustee</w:t>
      </w:r>
      <w:r>
        <w:rPr>
          <w:rFonts w:ascii="Arial" w:cs="Arial" w:eastAsia="Arial" w:hAnsi="Arial"/>
          <w:sz w:val="22"/>
          <w:szCs w:val="22"/>
          <w:color w:val="auto"/>
        </w:rPr>
        <w:t>. The Company agrees to furnish the Trustee, and the Trustee agrees to furnish the Company with such information relating to the Plan and Trust as may be required by the other in order to carry out their respective duties hereunder, including without limitation information required under the Code or ERISA and any regulations issued or forms adopted thereunder.</w:t>
      </w:r>
    </w:p>
    <w:p>
      <w:pPr>
        <w:spacing w:after="0" w:line="18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in connection with this Plan shall be deemed delivered in writing if addressed as provided below and if either actually delivered at said address or, in the case of a letter, three business days shall have elapsed after the same shall have been deposited in the United States mails, first-class postage prepaid and registered or certified:</w:t>
      </w:r>
    </w:p>
    <w:p>
      <w:pPr>
        <w:spacing w:after="0" w:line="125" w:lineRule="exact"/>
        <w:rPr>
          <w:sz w:val="20"/>
          <w:szCs w:val="20"/>
          <w:color w:val="auto"/>
        </w:rPr>
      </w:pPr>
    </w:p>
    <w:p>
      <w:pPr>
        <w:ind w:left="1720" w:hanging="415"/>
        <w:spacing w:after="0"/>
        <w:tabs>
          <w:tab w:leader="none" w:pos="17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it is sent to the Company or Administrator, it will be at the address specified by the Company;</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it is sent to the Trustee, it will be sent to the address set forth in the Trust Agreement; or, in each case at such other address as the addressee shall have specified by written notice delivered in accordance with the foregoing to the addressor’s then effective notice address.</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5620" w:hanging="117"/>
        <w:spacing w:after="0"/>
        <w:tabs>
          <w:tab w:leader="none" w:pos="5620" w:val="left"/>
        </w:tabs>
        <w:numPr>
          <w:ilvl w:val="1"/>
          <w:numId w:val="83"/>
        </w:numPr>
        <w:rPr>
          <w:rFonts w:ascii="Arial" w:cs="Arial" w:eastAsia="Arial" w:hAnsi="Arial"/>
          <w:sz w:val="20"/>
          <w:szCs w:val="20"/>
          <w:color w:val="auto"/>
        </w:rPr>
      </w:pPr>
      <w:r>
        <w:rPr>
          <w:rFonts w:ascii="Arial" w:cs="Arial" w:eastAsia="Arial" w:hAnsi="Arial"/>
          <w:sz w:val="20"/>
          <w:szCs w:val="20"/>
          <w:color w:val="auto"/>
        </w:rPr>
        <w:t>11 -</w:t>
      </w:r>
    </w:p>
    <w:p>
      <w:pPr>
        <w:sectPr>
          <w:pgSz w:w="11900" w:h="16838" w:orient="portrait"/>
          <w:cols w:equalWidth="0" w:num="1">
            <w:col w:w="11420"/>
          </w:cols>
          <w:pgMar w:left="240" w:top="625" w:right="239" w:bottom="1440" w:gutter="0" w:footer="0" w:header="0"/>
        </w:sectPr>
      </w:pPr>
    </w:p>
    <w:bookmarkStart w:id="133" w:name="page134"/>
    <w:bookmarkEnd w:id="133"/>
    <w:p>
      <w:pPr>
        <w:jc w:val="both"/>
        <w:ind w:right="20" w:firstLine="648"/>
        <w:spacing w:after="0" w:line="27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it is applicable, the Plan will be construed, administered and enforced according to ERISA, and to the extent not preempted thereby, the laws of the state of Delaware.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Powers and Responsibilities of the Administrator</w:t>
      </w:r>
      <w:r>
        <w:rPr>
          <w:rFonts w:ascii="Arial" w:cs="Arial" w:eastAsia="Arial" w:hAnsi="Arial"/>
          <w:sz w:val="22"/>
          <w:szCs w:val="22"/>
          <w:color w:val="auto"/>
        </w:rPr>
        <w:t>. The Administrator has the full power and the full responsibility to administer the Plan in all of its details, subject, however, to any applicable requirements of ERISA. The Administrator’s powers and responsibilities include, but are not limited to, the following:</w:t>
      </w:r>
    </w:p>
    <w:p>
      <w:pPr>
        <w:spacing w:after="0" w:line="177"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To make and enforce such rules and regulations as it deems necessary or proper for the efficient administration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of the Plan;</w:t>
      </w:r>
    </w:p>
    <w:p>
      <w:pPr>
        <w:spacing w:after="0" w:line="215" w:lineRule="exact"/>
        <w:rPr>
          <w:sz w:val="20"/>
          <w:szCs w:val="20"/>
          <w:color w:val="auto"/>
        </w:rPr>
      </w:pPr>
    </w:p>
    <w:p>
      <w:pPr>
        <w:ind w:firstLine="1305"/>
        <w:spacing w:after="0" w:line="276" w:lineRule="auto"/>
        <w:tabs>
          <w:tab w:leader="none" w:pos="1742"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discretionary authority to construe and interpret the Plan, its interpretation thereof in good faith to be final and conclusive on all persons claiming benefits under the Plan;</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To decide all questions concerning the Plan and the eligibility of any person to participate in the Plan;</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administer the claims and review procedures specified in Section 11.3;</w:t>
      </w:r>
    </w:p>
    <w:p>
      <w:pPr>
        <w:spacing w:after="0" w:line="233" w:lineRule="exact"/>
        <w:rPr>
          <w:rFonts w:ascii="Arial" w:cs="Arial" w:eastAsia="Arial" w:hAnsi="Arial"/>
          <w:sz w:val="22"/>
          <w:szCs w:val="22"/>
          <w:color w:val="auto"/>
        </w:rPr>
      </w:pPr>
    </w:p>
    <w:p>
      <w:pPr>
        <w:ind w:firstLine="1305"/>
        <w:spacing w:after="0" w:line="276" w:lineRule="auto"/>
        <w:tabs>
          <w:tab w:leader="none" w:pos="1743"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compute the amount of benefits which will be payable to any Participant, former Participant or Beneficiary in accordance with the provisions of the Plan;</w:t>
      </w:r>
    </w:p>
    <w:p>
      <w:pPr>
        <w:spacing w:after="0" w:line="160" w:lineRule="exact"/>
        <w:rPr>
          <w:rFonts w:ascii="Arial" w:cs="Arial" w:eastAsia="Arial" w:hAnsi="Arial"/>
          <w:sz w:val="22"/>
          <w:szCs w:val="22"/>
          <w:color w:val="auto"/>
        </w:rPr>
      </w:pPr>
    </w:p>
    <w:p>
      <w:pPr>
        <w:ind w:left="1700" w:hanging="395"/>
        <w:spacing w:after="0"/>
        <w:tabs>
          <w:tab w:leader="none" w:pos="17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determine the person or persons to whom such benefits will be paid;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authorize the payment of benefits;</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To appoint such agents, counsel, accountants, and consultants as may be required to assist in administering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15" w:lineRule="exact"/>
        <w:rPr>
          <w:rFonts w:ascii="Arial" w:cs="Arial" w:eastAsia="Arial" w:hAnsi="Arial"/>
          <w:sz w:val="19"/>
          <w:szCs w:val="19"/>
          <w:color w:val="auto"/>
        </w:rPr>
      </w:pPr>
    </w:p>
    <w:p>
      <w:pPr>
        <w:ind w:left="1680" w:hanging="375"/>
        <w:spacing w:after="0"/>
        <w:tabs>
          <w:tab w:leader="none" w:pos="16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By written instrument, to allocate and delegate its responsibilities.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Nondiscriminatory Exercise of Authority</w:t>
      </w:r>
      <w:r>
        <w:rPr>
          <w:rFonts w:ascii="Arial" w:cs="Arial" w:eastAsia="Arial" w:hAnsi="Arial"/>
          <w:sz w:val="22"/>
          <w:szCs w:val="22"/>
          <w:color w:val="auto"/>
        </w:rPr>
        <w:t>. Whenever, in the administration of the Plan, any discretionary action by the Administrator is required, the Administrator shall exercise its authority in a nondiscriminatory manner so that all persons similarly situated will receive substantially the same treatment.</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Claims and Review Procedures</w:t>
      </w:r>
      <w:r>
        <w:rPr>
          <w:rFonts w:ascii="Arial" w:cs="Arial" w:eastAsia="Arial" w:hAnsi="Arial"/>
          <w:sz w:val="21"/>
          <w:szCs w:val="21"/>
          <w:color w:val="auto"/>
        </w:rPr>
        <w:t>. If Participant or his or her representative submit a written claim for a benefit under the Plan (other than a benefit due to Disability) and their claim is denied in whole or in part, the Administrator will notify Participant or his or her representative in writing of such denial within ninety (90) days after the claim is received, unless special circumstances require an extension of up to ninety (90) more days, in which case the Participant or his or her representative will be notified in writing of the extension, the special circumstances requiring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ectPr>
          <w:pgSz w:w="11900" w:h="16838" w:orient="portrait"/>
          <w:cols w:equalWidth="0" w:num="1">
            <w:col w:w="11420"/>
          </w:cols>
          <w:pgMar w:left="240" w:top="631" w:right="2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extension and the date by which the Administrator expects to render its decision. The denial notice will include:</w:t>
      </w:r>
    </w:p>
    <w:p>
      <w:pPr>
        <w:spacing w:after="0" w:line="220"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111" w:lineRule="exact"/>
        <w:rPr>
          <w:rFonts w:ascii="Arial" w:cs="Arial" w:eastAsia="Arial" w:hAnsi="Arial"/>
          <w:sz w:val="22"/>
          <w:szCs w:val="22"/>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References to the specific Plan provision(s) on which the denial was based,</w:t>
      </w:r>
    </w:p>
    <w:p>
      <w:pPr>
        <w:spacing w:after="0" w:line="111"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that is necessary to perfect the claim and an explanation of why such material or information is necessary, and</w:t>
      </w:r>
    </w:p>
    <w:p>
      <w:pPr>
        <w:spacing w:after="0" w:line="66"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A description of the Plan’s procedures for appealing the denial. If the Participant or his or her representative disagrees with the Administrator’s decision, they will have sixty (60) days from the receipt of the original denial notice to appeal the decision. This appeal must be in writing and sent to the Administrator.</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Participant or his or her representative has the right to review (upon request and at no charge) all documents and other information relevant to their claim and to submit written comments, documents and other information relating to their claim. The Administrator will notify the Participant or his or her representative in writing of its decision within sixty (60) days after it receives the appeal, unless special circumstances require an extension of up to sixty (60) more days, in which case the Participant or his or her representative will be notified in writing of the extension, the special circumstances requiring the extension and the date by which the Administrator expects to render its decision. If the appeal is denied, the Administrator will give the Participant or his or her representative written notice that includes:</w:t>
      </w:r>
    </w:p>
    <w:p>
      <w:pPr>
        <w:spacing w:after="0" w:line="181"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specific reason(s) for the denial,</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References to the specific Plan provision(s) on which the denial was based,</w:t>
      </w:r>
    </w:p>
    <w:p>
      <w:pPr>
        <w:spacing w:after="0" w:line="219"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statement that the Participant or his or her representative will be provided, upon request and free of charge, reasonable access to, and copies of, all documents and other information relevant to their claim, and</w:t>
      </w:r>
    </w:p>
    <w:p>
      <w:pPr>
        <w:spacing w:after="0" w:line="151" w:lineRule="exact"/>
        <w:rPr>
          <w:rFonts w:ascii="Arial" w:cs="Arial" w:eastAsia="Arial" w:hAnsi="Arial"/>
          <w:sz w:val="21"/>
          <w:szCs w:val="21"/>
          <w:color w:val="auto"/>
        </w:rPr>
      </w:pPr>
    </w:p>
    <w:p>
      <w:pPr>
        <w:ind w:left="1300" w:hanging="644"/>
        <w:spacing w:after="0"/>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statement regarding the Participant’s right to bring an action under Section 502(a) of ERISA, if applicable.</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Participant shall have one year from the date the notice of the denial of the appeal to commence any action seeking judicial review of the denied claim. Failure to bring such an action within that period shall bar the claim. The Participant cannot bring an action until completing the Claims and Review Procedures described in this Section.</w:t>
      </w:r>
    </w:p>
    <w:p>
      <w:pPr>
        <w:spacing w:after="0" w:line="168"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Plan’s Administrative Costs</w:t>
      </w:r>
      <w:r>
        <w:rPr>
          <w:rFonts w:ascii="Arial" w:cs="Arial" w:eastAsia="Arial" w:hAnsi="Arial"/>
          <w:sz w:val="19"/>
          <w:szCs w:val="19"/>
          <w:color w:val="auto"/>
        </w:rPr>
        <w:t>. The Company shall pay all reasonable costs and expenses (including legal, accounting, and employee communication fees) incurred by the Administrator and the Trustee in administering the Plan and Trust.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Intentionally Blank]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420"/>
          </w:cols>
          <w:pgMar w:left="240" w:top="631" w:right="239" w:bottom="1440" w:gutter="0" w:footer="0" w:header="0"/>
        </w:sectPr>
      </w:pPr>
    </w:p>
    <w:bookmarkStart w:id="135" w:name="page136"/>
    <w:bookmarkEnd w:id="135"/>
    <w:p>
      <w:pPr>
        <w:ind w:firstLine="648"/>
        <w:spacing w:after="0" w:line="263" w:lineRule="auto"/>
        <w:rPr>
          <w:sz w:val="20"/>
          <w:szCs w:val="20"/>
          <w:color w:val="auto"/>
        </w:rPr>
      </w:pPr>
      <w:r>
        <w:rPr>
          <w:rFonts w:ascii="Arial" w:cs="Arial" w:eastAsia="Arial" w:hAnsi="Arial"/>
          <w:sz w:val="22"/>
          <w:szCs w:val="22"/>
          <w:color w:val="auto"/>
        </w:rPr>
        <w:t>IN WITNESS WHEREOF, the Company by its duly authorized officer(s) has caused this Plan to be adopted effective January 1, 2015.</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A. Bruggeworth</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Robert A. Bruggeworth</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Chief Executive Officer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Qorvo, Inc. Nonqualified Deferred Compensation Plan]</w:t>
      </w:r>
    </w:p>
    <w:p>
      <w:pPr>
        <w:sectPr>
          <w:pgSz w:w="11900" w:h="16838" w:orient="portrait"/>
          <w:cols w:equalWidth="0" w:num="1">
            <w:col w:w="11420"/>
          </w:cols>
          <w:pgMar w:left="240" w:top="631" w:right="2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QORVO, INC.</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CASH BONUS PLAN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Assumed and Amended and Restated Effective January 1, 2015)</w:t>
      </w:r>
    </w:p>
    <w:p>
      <w:pPr>
        <w:sectPr>
          <w:pgSz w:w="11900" w:h="16838" w:orient="portrait"/>
          <w:cols w:equalWidth="0" w:num="1">
            <w:col w:w="9019"/>
          </w:cols>
          <w:pgMar w:left="1440" w:top="1440"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21"/>
          <w:szCs w:val="21"/>
          <w:b w:val="1"/>
          <w:bCs w:val="1"/>
          <w:color w:val="auto"/>
        </w:rPr>
        <w:t>QORVO,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CASH BONUS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Assumed and Amended and Restated Effective January 1, 2015)</w:t>
      </w:r>
    </w:p>
    <w:p>
      <w:pPr>
        <w:spacing w:after="0" w:line="221"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Purpose; Plan Background</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purpose of the Qorvo, Inc. Cash Bonus Plan, as previously amended and as it may be further amended (the "Plan"), is to provide selected salaried employees of the Company (as defined below) or an affiliate thereof with the opportunity to earn awards ("awards") in the form of cash bonuses based upon attainment of preestablished, objective performance goals, thereby promoting a closer identification of the participating employees' interests with the interests of the Company and its stockholders, and further stimulating such employees' efforts to enhance the efficiency, profitability, growth and value of the Company.</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Pursuant to that certain Agreement and Plan of Merger and Reorganization among TriQuint Semiconductor, Inc. ("TriQuint"), RF Micro Devices, Inc. ("RFMD") and Qorvo, Inc. (f/k/a "Rocky Holding, Inc.") ("Qorvo") dated as of February 22, 2014, as amended July 15, 2014 (the "Merger Agreement"), RFMD and TriQuint have become wholly-owned subsidiaries of Qorvo and Qorvo has become the successor to each of RFMD and TriQuint (such transactions, defined as the "Mergers" in the Merger Agreement, being referred to herein as the "Merger") as of the Effective Time, as defined in the Merger Agreement (the "Merger Effective Date"). As a result of the Merger, Qorvo has assumed and amended and restated the RF Micro Devices, Inc. Cash Bonus Plan. For the purposes herein, references to the "Company" (i) prior to the Merger Effective Date refer to RFMD and, where appropriate, its affiliates, unless the context otherwise requires, and (ii) on and after the Merger Effective Date refer to Qorvo and, where appropriate, its affiliates, specifically including but not limited to RFMD and TriQuint, unless the context otherwise requires.</w:t>
      </w:r>
    </w:p>
    <w:p>
      <w:pPr>
        <w:spacing w:after="0" w:line="175"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22"/>
          <w:szCs w:val="22"/>
          <w:b w:val="1"/>
          <w:bCs w:val="1"/>
          <w:color w:val="auto"/>
        </w:rPr>
      </w:pPr>
      <w:r>
        <w:rPr>
          <w:rFonts w:ascii="Arial" w:cs="Arial" w:eastAsia="Arial" w:hAnsi="Arial"/>
          <w:sz w:val="21"/>
          <w:szCs w:val="21"/>
          <w:b w:val="1"/>
          <w:bCs w:val="1"/>
          <w:color w:val="auto"/>
        </w:rPr>
        <w:t>Plan Administration</w:t>
      </w:r>
    </w:p>
    <w:p>
      <w:pPr>
        <w:spacing w:after="0" w:line="225" w:lineRule="exact"/>
        <w:rPr>
          <w:rFonts w:ascii="Arial" w:cs="Arial" w:eastAsia="Arial" w:hAnsi="Arial"/>
          <w:sz w:val="22"/>
          <w:szCs w:val="22"/>
          <w:b w:val="1"/>
          <w:bCs w:val="1"/>
          <w:color w:val="auto"/>
        </w:rPr>
      </w:pPr>
    </w:p>
    <w:p>
      <w:pPr>
        <w:jc w:val="both"/>
        <w:ind w:firstLine="656"/>
        <w:spacing w:after="0" w:line="271" w:lineRule="auto"/>
        <w:tabs>
          <w:tab w:leader="none" w:pos="1217" w:val="left"/>
        </w:tabs>
        <w:numPr>
          <w:ilvl w:val="1"/>
          <w:numId w:val="88"/>
        </w:numPr>
        <w:rPr>
          <w:rFonts w:ascii="Arial" w:cs="Arial" w:eastAsia="Arial" w:hAnsi="Arial"/>
          <w:sz w:val="21"/>
          <w:szCs w:val="21"/>
          <w:color w:val="auto"/>
        </w:rPr>
      </w:pPr>
      <w:r>
        <w:rPr>
          <w:rFonts w:ascii="Arial" w:cs="Arial" w:eastAsia="Arial" w:hAnsi="Arial"/>
          <w:sz w:val="20"/>
          <w:szCs w:val="20"/>
          <w:i w:val="1"/>
          <w:iCs w:val="1"/>
          <w:color w:val="auto"/>
        </w:rPr>
        <w:t>Administration</w:t>
      </w:r>
      <w:r>
        <w:rPr>
          <w:rFonts w:ascii="Arial" w:cs="Arial" w:eastAsia="Arial" w:hAnsi="Arial"/>
          <w:sz w:val="20"/>
          <w:szCs w:val="20"/>
          <w:color w:val="auto"/>
        </w:rPr>
        <w:t>: The Plan shall be administered by the Compensation Committee (the "Committee") of the Board of</w:t>
      </w:r>
      <w:r>
        <w:rPr>
          <w:rFonts w:ascii="Arial" w:cs="Arial" w:eastAsia="Arial" w:hAnsi="Arial"/>
          <w:sz w:val="20"/>
          <w:szCs w:val="20"/>
          <w:i w:val="1"/>
          <w:iCs w:val="1"/>
          <w:color w:val="auto"/>
        </w:rPr>
        <w:t xml:space="preserve"> </w:t>
      </w:r>
      <w:r>
        <w:rPr>
          <w:rFonts w:ascii="Arial" w:cs="Arial" w:eastAsia="Arial" w:hAnsi="Arial"/>
          <w:sz w:val="20"/>
          <w:szCs w:val="20"/>
          <w:color w:val="auto"/>
        </w:rPr>
        <w:t>Directors (the "Board") of the Company or a subcommittee of the Committee. To the extent required by Section 162(m) of the Internal Revenue Code of 1986, as amended (the "Code"), the Committee shall be comprised of at least two members and each member of the Committee (or subcommittee of the Committee) shall be an "outside director" as defined in Code Section 162(m) and related regulations. In addition, the members of the Compensation Committee shall be deemed independent if and to the extent required under Section 10C of the Securities Exchange Act of 1934, as amended (the "Exchange Act"), and applicable rules of The NASDAQ Stock Market LLC or other applicable stock exchange or national securities association. In addition to action by meeting in accordance with applicable laws, any action of the Committee with respect to the Plan may be taken by a written instrument signed by all of the members of the Committee, and any such action so taken by written consent shall be as fully effective as if it had been taken by a majority of the members at a meeting duly held and called.</w:t>
      </w:r>
    </w:p>
    <w:p>
      <w:pPr>
        <w:spacing w:after="0" w:line="185" w:lineRule="exact"/>
        <w:rPr>
          <w:rFonts w:ascii="Arial" w:cs="Arial" w:eastAsia="Arial" w:hAnsi="Arial"/>
          <w:sz w:val="21"/>
          <w:szCs w:val="21"/>
          <w:color w:val="auto"/>
        </w:rPr>
      </w:pPr>
    </w:p>
    <w:p>
      <w:pPr>
        <w:jc w:val="both"/>
        <w:ind w:firstLine="656"/>
        <w:spacing w:after="0" w:line="262" w:lineRule="auto"/>
        <w:tabs>
          <w:tab w:leader="none" w:pos="1134" w:val="left"/>
        </w:tabs>
        <w:numPr>
          <w:ilvl w:val="1"/>
          <w:numId w:val="88"/>
        </w:numPr>
        <w:rPr>
          <w:rFonts w:ascii="Arial" w:cs="Arial" w:eastAsia="Arial" w:hAnsi="Arial"/>
          <w:sz w:val="22"/>
          <w:szCs w:val="22"/>
          <w:color w:val="auto"/>
        </w:rPr>
      </w:pPr>
      <w:r>
        <w:rPr>
          <w:rFonts w:ascii="Arial" w:cs="Arial" w:eastAsia="Arial" w:hAnsi="Arial"/>
          <w:sz w:val="21"/>
          <w:szCs w:val="21"/>
          <w:i w:val="1"/>
          <w:iCs w:val="1"/>
          <w:color w:val="auto"/>
        </w:rPr>
        <w:t>Administrator Authority</w:t>
      </w:r>
      <w:r>
        <w:rPr>
          <w:rFonts w:ascii="Arial" w:cs="Arial" w:eastAsia="Arial" w:hAnsi="Arial"/>
          <w:sz w:val="21"/>
          <w:szCs w:val="21"/>
          <w:color w:val="auto"/>
        </w:rPr>
        <w:t>: Subject to the terms of the Plan, the Committee shall have full authority in its discretion to take</w:t>
      </w:r>
      <w:r>
        <w:rPr>
          <w:rFonts w:ascii="Arial" w:cs="Arial" w:eastAsia="Arial" w:hAnsi="Arial"/>
          <w:sz w:val="21"/>
          <w:szCs w:val="21"/>
          <w:i w:val="1"/>
          <w:iCs w:val="1"/>
          <w:color w:val="auto"/>
        </w:rPr>
        <w:t xml:space="preserve"> </w:t>
      </w:r>
      <w:r>
        <w:rPr>
          <w:rFonts w:ascii="Arial" w:cs="Arial" w:eastAsia="Arial" w:hAnsi="Arial"/>
          <w:sz w:val="21"/>
          <w:szCs w:val="21"/>
          <w:color w:val="auto"/>
        </w:rPr>
        <w:t>any action with respect to the Plan, including, but not limited to, the authority to (i) determine all matters relating to awards, including selection of individuals to be granted awards and all terms, conditions, restrictions and limitations of an award; and (ii) construe and interpret</w:t>
      </w:r>
    </w:p>
    <w:p>
      <w:pPr>
        <w:sectPr>
          <w:pgSz w:w="11900" w:h="16838" w:orient="portrait"/>
          <w:cols w:equalWidth="0" w:num="1">
            <w:col w:w="11420"/>
          </w:cols>
          <w:pgMar w:left="240" w:top="620" w:right="239" w:bottom="1440" w:gutter="0" w:footer="0" w:header="0"/>
        </w:sectPr>
      </w:pPr>
    </w:p>
    <w:bookmarkStart w:id="138" w:name="page139"/>
    <w:bookmarkEnd w:id="138"/>
    <w:p>
      <w:pPr>
        <w:jc w:val="both"/>
        <w:spacing w:after="0" w:line="292" w:lineRule="auto"/>
        <w:rPr>
          <w:sz w:val="20"/>
          <w:szCs w:val="20"/>
          <w:color w:val="auto"/>
        </w:rPr>
      </w:pPr>
      <w:r>
        <w:rPr>
          <w:rFonts w:ascii="Arial" w:cs="Arial" w:eastAsia="Arial" w:hAnsi="Arial"/>
          <w:sz w:val="18"/>
          <w:szCs w:val="18"/>
          <w:color w:val="auto"/>
        </w:rPr>
        <w:t>the Plan and any instruments evidencing awards granted under the Plan, to establish and interpret rules and regulations for administering the Plan and to make all other determinations deemed necessary or advisable for administering the Plan. The Committee's authority to grant awards and authorize payments under the Plan shall not in any way restrict the authority of the Committee to grant compensation to employees under any other compensation plan or program of the Company. The Committee also shall have the authority and discretion to establish terms and conditions of awards (including but not limited to the establishment of subplans) as the Committee determines to be necessary or appropriate to conform to the applicable requirements or practices of jurisdictions outside of the United States. Any decision made, or action taken, by the Committee in connection with the administration of the Plan shall be final, binding and conclusive.</w:t>
      </w:r>
    </w:p>
    <w:p>
      <w:pPr>
        <w:spacing w:after="0" w:line="168" w:lineRule="exact"/>
        <w:rPr>
          <w:sz w:val="20"/>
          <w:szCs w:val="20"/>
          <w:color w:val="auto"/>
        </w:rPr>
      </w:pPr>
    </w:p>
    <w:p>
      <w:pPr>
        <w:jc w:val="both"/>
        <w:ind w:firstLine="656"/>
        <w:spacing w:after="0" w:line="291" w:lineRule="auto"/>
        <w:tabs>
          <w:tab w:leader="none" w:pos="1095" w:val="left"/>
        </w:tabs>
        <w:numPr>
          <w:ilvl w:val="1"/>
          <w:numId w:val="89"/>
        </w:numPr>
        <w:rPr>
          <w:rFonts w:ascii="Arial" w:cs="Arial" w:eastAsia="Arial" w:hAnsi="Arial"/>
          <w:sz w:val="19"/>
          <w:szCs w:val="19"/>
          <w:color w:val="auto"/>
        </w:rPr>
      </w:pPr>
      <w:r>
        <w:rPr>
          <w:rFonts w:ascii="Arial" w:cs="Arial" w:eastAsia="Arial" w:hAnsi="Arial"/>
          <w:sz w:val="19"/>
          <w:szCs w:val="19"/>
          <w:i w:val="1"/>
          <w:iCs w:val="1"/>
          <w:color w:val="auto"/>
        </w:rPr>
        <w:t>Delegation of Authority</w:t>
      </w:r>
      <w:r>
        <w:rPr>
          <w:rFonts w:ascii="Arial" w:cs="Arial" w:eastAsia="Arial" w:hAnsi="Arial"/>
          <w:sz w:val="19"/>
          <w:szCs w:val="19"/>
          <w:color w:val="auto"/>
        </w:rPr>
        <w:t>: Notwithstanding the foregoing, the Committee may delegate the administration of the Plan to one</w:t>
      </w:r>
      <w:r>
        <w:rPr>
          <w:rFonts w:ascii="Arial" w:cs="Arial" w:eastAsia="Arial" w:hAnsi="Arial"/>
          <w:sz w:val="19"/>
          <w:szCs w:val="19"/>
          <w:i w:val="1"/>
          <w:iCs w:val="1"/>
          <w:color w:val="auto"/>
        </w:rPr>
        <w:t xml:space="preserve"> </w:t>
      </w:r>
      <w:r>
        <w:rPr>
          <w:rFonts w:ascii="Arial" w:cs="Arial" w:eastAsia="Arial" w:hAnsi="Arial"/>
          <w:sz w:val="19"/>
          <w:szCs w:val="19"/>
          <w:color w:val="auto"/>
        </w:rPr>
        <w:t>or more of its designees (subject to any conditions imposed by the Committee), but only with respect to matters which would not affect the deductibility under Code Section 162(m) of compensation paid under the Plan to "covered employees" (as such term is defined in Code Section 162(m) and related regulations) or as may otherwise be permitted under applicable laws, rules or regulations. In the case of any such delegation, references to the "Committee" herein shall include such designee or designees, unless the context otherwise requires. No member of the Board or the Committee shall be liable for any action, determination or decision made in good faith with respect to the Plan or any award paid under it. The members of the Board and the Committee shall be entitled to indemnification and reimbursement in the manner and to the fullest extent provided in the Company's certificate of incorporation or bylaws.</w:t>
      </w:r>
    </w:p>
    <w:p>
      <w:pPr>
        <w:spacing w:after="0" w:line="157" w:lineRule="exact"/>
        <w:rPr>
          <w:rFonts w:ascii="Arial" w:cs="Arial" w:eastAsia="Arial" w:hAnsi="Arial"/>
          <w:sz w:val="19"/>
          <w:szCs w:val="19"/>
          <w:color w:val="auto"/>
        </w:rPr>
      </w:pPr>
    </w:p>
    <w:p>
      <w:pPr>
        <w:ind w:left="660" w:hanging="652"/>
        <w:spacing w:after="0"/>
        <w:tabs>
          <w:tab w:leader="none" w:pos="660" w:val="left"/>
        </w:tabs>
        <w:numPr>
          <w:ilvl w:val="0"/>
          <w:numId w:val="90"/>
        </w:numPr>
        <w:rPr>
          <w:rFonts w:ascii="Arial" w:cs="Arial" w:eastAsia="Arial" w:hAnsi="Arial"/>
          <w:sz w:val="22"/>
          <w:szCs w:val="22"/>
          <w:b w:val="1"/>
          <w:bCs w:val="1"/>
          <w:color w:val="auto"/>
        </w:rPr>
      </w:pPr>
      <w:r>
        <w:rPr>
          <w:rFonts w:ascii="Arial" w:cs="Arial" w:eastAsia="Arial" w:hAnsi="Arial"/>
          <w:sz w:val="21"/>
          <w:szCs w:val="21"/>
          <w:b w:val="1"/>
          <w:bCs w:val="1"/>
          <w:color w:val="auto"/>
        </w:rPr>
        <w:t>Eligibility</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The participants in the Plan (individually, a "participant," and collectively, the "participants") shall be those salaried employees of</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 and its affiliates who are designated from time to time as participants by the Committee. Eligible participants shall be selected to participate on an annual or other periodic basis as determined by the Committee. With respect to those participants who are "covered employees," such designation shall be made during the first 90 days of each performance period and before 25% of the relevant performance period has passed (or otherwise made at such time and on such terms as will ensure that the award will, to the extent practicable, qualify as "performance-based compensation" for purposes of Code Section 162(m)). Participation in the Plan for any one performance period does not guarantee that an employee will be selected to participate in any other performance period. For the purposes of the Plan, "performance period" shall mean a period established by the Committee during which performance shall be measured to determine if any payment will be made under the Plan. A performance period may be coincident with one or more fiscal years or fiscal quarters of the Company, or any portion thereof, and performance periods may be overlapping. An "affiliate" of the Company shall mean any company (or other entity) controlled by, controlling or under common control with the Company.</w:t>
      </w:r>
    </w:p>
    <w:p>
      <w:pPr>
        <w:spacing w:after="0" w:line="179"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22"/>
          <w:szCs w:val="22"/>
          <w:b w:val="1"/>
          <w:bCs w:val="1"/>
          <w:color w:val="auto"/>
        </w:rPr>
      </w:pPr>
      <w:r>
        <w:rPr>
          <w:rFonts w:ascii="Arial" w:cs="Arial" w:eastAsia="Arial" w:hAnsi="Arial"/>
          <w:sz w:val="21"/>
          <w:szCs w:val="21"/>
          <w:b w:val="1"/>
          <w:bCs w:val="1"/>
          <w:color w:val="auto"/>
        </w:rPr>
        <w:t>Nature of Awards</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1"/>
          <w:szCs w:val="21"/>
          <w:color w:val="auto"/>
        </w:rPr>
        <w:t>Awards granted under the Plan shall be in the form of cash bonuses.</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626" w:right="239" w:bottom="1440" w:gutter="0" w:footer="0" w:header="0"/>
        </w:sectPr>
      </w:pPr>
    </w:p>
    <w:bookmarkStart w:id="139" w:name="page140"/>
    <w:bookmarkEnd w:id="139"/>
    <w:p>
      <w:pPr>
        <w:ind w:left="652" w:hanging="652"/>
        <w:spacing w:after="0"/>
        <w:tabs>
          <w:tab w:leader="none" w:pos="652" w:val="left"/>
        </w:tabs>
        <w:numPr>
          <w:ilvl w:val="0"/>
          <w:numId w:val="92"/>
        </w:numPr>
        <w:rPr>
          <w:rFonts w:ascii="Arial" w:cs="Arial" w:eastAsia="Arial" w:hAnsi="Arial"/>
          <w:sz w:val="22"/>
          <w:szCs w:val="22"/>
          <w:b w:val="1"/>
          <w:bCs w:val="1"/>
          <w:color w:val="auto"/>
        </w:rPr>
      </w:pPr>
      <w:r>
        <w:rPr>
          <w:rFonts w:ascii="Arial" w:cs="Arial" w:eastAsia="Arial" w:hAnsi="Arial"/>
          <w:sz w:val="21"/>
          <w:szCs w:val="21"/>
          <w:b w:val="1"/>
          <w:bCs w:val="1"/>
          <w:color w:val="auto"/>
        </w:rPr>
        <w:t>Awards</w:t>
      </w:r>
    </w:p>
    <w:p>
      <w:pPr>
        <w:spacing w:after="0" w:line="225" w:lineRule="exact"/>
        <w:rPr>
          <w:rFonts w:ascii="Arial" w:cs="Arial" w:eastAsia="Arial" w:hAnsi="Arial"/>
          <w:sz w:val="22"/>
          <w:szCs w:val="22"/>
          <w:b w:val="1"/>
          <w:bCs w:val="1"/>
          <w:color w:val="auto"/>
        </w:rPr>
      </w:pPr>
    </w:p>
    <w:p>
      <w:pPr>
        <w:jc w:val="both"/>
        <w:ind w:left="-8" w:firstLine="656"/>
        <w:spacing w:after="0" w:line="286" w:lineRule="auto"/>
        <w:tabs>
          <w:tab w:leader="none" w:pos="1101" w:val="left"/>
        </w:tabs>
        <w:numPr>
          <w:ilvl w:val="1"/>
          <w:numId w:val="92"/>
        </w:numPr>
        <w:rPr>
          <w:rFonts w:ascii="Arial" w:cs="Arial" w:eastAsia="Arial" w:hAnsi="Arial"/>
          <w:sz w:val="19"/>
          <w:szCs w:val="19"/>
          <w:color w:val="auto"/>
        </w:rPr>
      </w:pPr>
      <w:r>
        <w:rPr>
          <w:rFonts w:ascii="Arial" w:cs="Arial" w:eastAsia="Arial" w:hAnsi="Arial"/>
          <w:sz w:val="19"/>
          <w:szCs w:val="19"/>
          <w:i w:val="1"/>
          <w:iCs w:val="1"/>
          <w:color w:val="auto"/>
        </w:rPr>
        <w:t xml:space="preserve">Grant of Awards: </w:t>
      </w:r>
      <w:r>
        <w:rPr>
          <w:rFonts w:ascii="Arial" w:cs="Arial" w:eastAsia="Arial" w:hAnsi="Arial"/>
          <w:sz w:val="19"/>
          <w:szCs w:val="19"/>
          <w:color w:val="auto"/>
        </w:rPr>
        <w:t>At the time performance objectives are established for a performance period as provided in Section 5(b)</w:t>
      </w:r>
      <w:r>
        <w:rPr>
          <w:rFonts w:ascii="Arial" w:cs="Arial" w:eastAsia="Arial" w:hAnsi="Arial"/>
          <w:sz w:val="19"/>
          <w:szCs w:val="19"/>
          <w:i w:val="1"/>
          <w:iCs w:val="1"/>
          <w:color w:val="auto"/>
        </w:rPr>
        <w:t xml:space="preserve"> </w:t>
      </w:r>
      <w:r>
        <w:rPr>
          <w:rFonts w:ascii="Arial" w:cs="Arial" w:eastAsia="Arial" w:hAnsi="Arial"/>
          <w:sz w:val="19"/>
          <w:szCs w:val="19"/>
          <w:color w:val="auto"/>
        </w:rPr>
        <w:t>herein, the Committee also shall assign to each participant a target cash bonus award applicable for the particular performance period (each, a "target bonus"). A participant's award, if any, shall be earned based on the attainment of written performance objectives approved by the Committee for a specified performance period, as provided in Section 5(b) herein. In the case of awards granted to covered employees that are intended to comply with Code Section 162(m), such performance objectives shall be established by the Committee (i) while the outcome for the performance period is substantially uncertain, and (ii) (A) no more than 90 days after the commencement of the performance period to which the performance objective relates and (B) before 25% of the relevant performance period has elapsed (or otherwise at such time and upon such terms as to ensure that the award will, to the extent practicable, qualify as "performance-based compensation" for purposes of Code Section 162(m)). During any fiscal year of the Company, no participant may be granted more than the maximum award limitation stated in Section 5(d) herein. The Committee may adjust awards as appropriate for partial achievement of goals, exemplary effort on the part of a participant and/or other external, extraordinary or mitigating circumstances and may also interpret and make necessary and appropriate adjustments to performance goals and the manner in which such performance goals are evaluated; provided, however, that, except as may be otherwise provided in Section 6 and/or Section 7, no such adjustment shall be made with respect to an award granted under the Plan to a participant who is a "covered employee" if such adjustment would cause the award to fail to qualify as "performance-based compensation" for purposes of Code Section 162(m).</w:t>
      </w:r>
    </w:p>
    <w:p>
      <w:pPr>
        <w:spacing w:after="0" w:line="173" w:lineRule="exact"/>
        <w:rPr>
          <w:rFonts w:ascii="Arial" w:cs="Arial" w:eastAsia="Arial" w:hAnsi="Arial"/>
          <w:sz w:val="19"/>
          <w:szCs w:val="19"/>
          <w:color w:val="auto"/>
        </w:rPr>
      </w:pPr>
    </w:p>
    <w:p>
      <w:pPr>
        <w:jc w:val="both"/>
        <w:ind w:left="-8" w:firstLine="656"/>
        <w:spacing w:after="0" w:line="285" w:lineRule="auto"/>
        <w:tabs>
          <w:tab w:leader="none" w:pos="1167" w:val="left"/>
        </w:tabs>
        <w:numPr>
          <w:ilvl w:val="1"/>
          <w:numId w:val="92"/>
        </w:numPr>
        <w:rPr>
          <w:rFonts w:ascii="Arial" w:cs="Arial" w:eastAsia="Arial" w:hAnsi="Arial"/>
          <w:sz w:val="19"/>
          <w:szCs w:val="19"/>
          <w:color w:val="auto"/>
        </w:rPr>
      </w:pPr>
      <w:r>
        <w:rPr>
          <w:rFonts w:ascii="Arial" w:cs="Arial" w:eastAsia="Arial" w:hAnsi="Arial"/>
          <w:sz w:val="19"/>
          <w:szCs w:val="19"/>
          <w:i w:val="1"/>
          <w:iCs w:val="1"/>
          <w:color w:val="auto"/>
        </w:rPr>
        <w:t>Performance Objectives</w:t>
      </w:r>
      <w:r>
        <w:rPr>
          <w:rFonts w:ascii="Arial" w:cs="Arial" w:eastAsia="Arial" w:hAnsi="Arial"/>
          <w:sz w:val="19"/>
          <w:szCs w:val="19"/>
          <w:color w:val="auto"/>
        </w:rPr>
        <w:t>: For each performance period, the Committee shall establish one or more specific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measures and specific goals for each participant and/or for each group of participants. The performance objectives established by the Committee shall be based on one or more performance measures that apply to the individual participant ("individual performance"), business unit/function performance ("business unit/function performance"), the Company as a whole ("corporate performance"), or any combination of individual performance, business unit/function performance or corporate performance. Without limiting the foregoing, performance goals for business unit/function performance may be set for an identifiable business group, segment, unit, affiliate, facility, product line, product or function (such as sales, manufacturing or research and development). If a participant's performance goals are based on a combination of individual performance, business unit/function performance and/or corporate performance, the Committee may weight the importance of each type of performance that applies to such participant by assigning a percentage to it. In the case of covered employees, the performance objectives shall be objective and shall be based upon one or more of the following criteria, as determined by the Committee: (i) revenues or sales; (ii) gross margins; (iii) earnings per share; (iv) net bookings; (v) product production or shipments; (vi) consolidated earnings before or after taxes (including earnings before interest, taxes, depreciation and amortization); (vii) net income; (viii) operating income; (ix) book value per share; (x) return on stockholders' equity; (xi) return on investment; (xii) return on capital; (xiii) improvements in capital structure; (xiv) expense management; (xv) operating margins; (xvi) maintenance or improvement of gross margins or operating margins; (xvii) stock price or total stockholder return; (xviii) market share; (xix) profitability; (xx) costs; (xxi) cash flow or free cash flow; (xxii) working capital; (xxiii) return on assets; (xxiv) economic wealth created, and/or (xxv) strategic business criteria, based on meeting specified goals or objectives related to market penetration, geographic business expansion, cost targets, customer satisfaction, employee satisfaction, management of employment practices and employee benefits, management of litigation,</w:t>
      </w:r>
    </w:p>
    <w:p>
      <w:pPr>
        <w:spacing w:after="0" w:line="400" w:lineRule="exact"/>
        <w:rPr>
          <w:sz w:val="20"/>
          <w:szCs w:val="20"/>
          <w:color w:val="auto"/>
        </w:rPr>
      </w:pPr>
    </w:p>
    <w:p>
      <w:pPr>
        <w:ind w:left="4212"/>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12"/>
          </w:cols>
          <w:pgMar w:left="248" w:top="633" w:right="2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20"/>
          <w:szCs w:val="20"/>
          <w:color w:val="auto"/>
        </w:rPr>
        <w:t>management of information technology, goals relating to acquisitions or divestitures of products, product lines, subsidiaries, affiliates or joint ventures, quality matrices, customer service matrices and/or execution of pre-approved corporate strategy. In addition, with respect to participants who are not covered employees, the Committee may approve performance objectives based on other criteria, which may or may not be objective. The foregoing criteria may relate to the Company, one or more of its affiliates or one or more of its divisions, units, partnerships, joint venturers or minority investments, facilities, product lines or products or any combination of the foregoing. The targeted level or levels of performance with respect to such business criteria may be established at such levels and on such terms as the Committee may determine, in its discretion, including but not limited to on an absolute basis, in relation to performance in a prior performance period, and/or relative to one or more peer group companies or indices, or any combination thereof. In addition, the performance objectives may be calculated without regard to extraordinary items, except as may be limited under Code Section 162(m) in the case of a covered employee.</w:t>
      </w:r>
    </w:p>
    <w:p>
      <w:pPr>
        <w:spacing w:after="0" w:line="198" w:lineRule="exact"/>
        <w:rPr>
          <w:sz w:val="20"/>
          <w:szCs w:val="20"/>
          <w:color w:val="auto"/>
        </w:rPr>
      </w:pPr>
    </w:p>
    <w:p>
      <w:pPr>
        <w:jc w:val="both"/>
        <w:ind w:firstLine="656"/>
        <w:spacing w:after="0" w:line="276" w:lineRule="auto"/>
        <w:tabs>
          <w:tab w:leader="none" w:pos="1082" w:val="left"/>
        </w:tabs>
        <w:numPr>
          <w:ilvl w:val="1"/>
          <w:numId w:val="93"/>
        </w:numPr>
        <w:rPr>
          <w:rFonts w:ascii="Arial" w:cs="Arial" w:eastAsia="Arial" w:hAnsi="Arial"/>
          <w:sz w:val="21"/>
          <w:szCs w:val="21"/>
          <w:color w:val="auto"/>
        </w:rPr>
      </w:pPr>
      <w:r>
        <w:rPr>
          <w:rFonts w:ascii="Arial" w:cs="Arial" w:eastAsia="Arial" w:hAnsi="Arial"/>
          <w:sz w:val="20"/>
          <w:szCs w:val="20"/>
          <w:i w:val="1"/>
          <w:iCs w:val="1"/>
          <w:color w:val="auto"/>
        </w:rPr>
        <w:t xml:space="preserve">Earning of Awards: </w:t>
      </w:r>
      <w:r>
        <w:rPr>
          <w:rFonts w:ascii="Arial" w:cs="Arial" w:eastAsia="Arial" w:hAnsi="Arial"/>
          <w:sz w:val="20"/>
          <w:szCs w:val="20"/>
          <w:color w:val="auto"/>
        </w:rPr>
        <w:t>As soon as practicable after the end of the performance period, the Committee shall determine whether</w:t>
      </w:r>
      <w:r>
        <w:rPr>
          <w:rFonts w:ascii="Arial" w:cs="Arial" w:eastAsia="Arial" w:hAnsi="Arial"/>
          <w:sz w:val="20"/>
          <w:szCs w:val="20"/>
          <w:i w:val="1"/>
          <w:iCs w:val="1"/>
          <w:color w:val="auto"/>
        </w:rPr>
        <w:t xml:space="preserve"> </w:t>
      </w:r>
      <w:r>
        <w:rPr>
          <w:rFonts w:ascii="Arial" w:cs="Arial" w:eastAsia="Arial" w:hAnsi="Arial"/>
          <w:sz w:val="20"/>
          <w:szCs w:val="20"/>
          <w:color w:val="auto"/>
        </w:rPr>
        <w:t>the performance goals for the performance period were achieved and, if so, at what level of achievement under specific formulae established for the performance period. If the performance goals were met for the performance period, the Committee shall determine the amount, if any, of the award earned by each participant and such award shall be paid in accordance with Section 5(e) herein (subject, however, to the limitation on awards stated in Section 5(d) herein).</w:t>
      </w:r>
    </w:p>
    <w:p>
      <w:pPr>
        <w:spacing w:after="0" w:line="176" w:lineRule="exact"/>
        <w:rPr>
          <w:rFonts w:ascii="Arial" w:cs="Arial" w:eastAsia="Arial" w:hAnsi="Arial"/>
          <w:sz w:val="21"/>
          <w:szCs w:val="21"/>
          <w:color w:val="auto"/>
        </w:rPr>
      </w:pPr>
    </w:p>
    <w:p>
      <w:pPr>
        <w:ind w:firstLine="656"/>
        <w:spacing w:after="0" w:line="347" w:lineRule="auto"/>
        <w:tabs>
          <w:tab w:leader="none" w:pos="1121" w:val="left"/>
        </w:tabs>
        <w:numPr>
          <w:ilvl w:val="1"/>
          <w:numId w:val="93"/>
        </w:numPr>
        <w:rPr>
          <w:rFonts w:ascii="Arial" w:cs="Arial" w:eastAsia="Arial" w:hAnsi="Arial"/>
          <w:sz w:val="19"/>
          <w:szCs w:val="19"/>
          <w:color w:val="auto"/>
        </w:rPr>
      </w:pPr>
      <w:r>
        <w:rPr>
          <w:rFonts w:ascii="Arial" w:cs="Arial" w:eastAsia="Arial" w:hAnsi="Arial"/>
          <w:sz w:val="19"/>
          <w:szCs w:val="19"/>
          <w:i w:val="1"/>
          <w:iCs w:val="1"/>
          <w:color w:val="auto"/>
        </w:rPr>
        <w:t>Maximum Award Payable to Any One Participant</w:t>
      </w:r>
      <w:r>
        <w:rPr>
          <w:rFonts w:ascii="Arial" w:cs="Arial" w:eastAsia="Arial" w:hAnsi="Arial"/>
          <w:sz w:val="19"/>
          <w:szCs w:val="19"/>
          <w:color w:val="auto"/>
        </w:rPr>
        <w:t>: Other provisions of the Plan notwithstanding, the maximum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cash bonus awards that may be granted under the Plan to any one participant in any one fiscal year shall not exceed $5,000,000.</w:t>
      </w:r>
    </w:p>
    <w:p>
      <w:pPr>
        <w:spacing w:after="0" w:line="110" w:lineRule="exact"/>
        <w:rPr>
          <w:rFonts w:ascii="Arial" w:cs="Arial" w:eastAsia="Arial" w:hAnsi="Arial"/>
          <w:sz w:val="19"/>
          <w:szCs w:val="19"/>
          <w:color w:val="auto"/>
        </w:rPr>
      </w:pPr>
    </w:p>
    <w:p>
      <w:pPr>
        <w:jc w:val="both"/>
        <w:ind w:firstLine="656"/>
        <w:spacing w:after="0" w:line="248" w:lineRule="auto"/>
        <w:tabs>
          <w:tab w:leader="none" w:pos="1095" w:val="left"/>
        </w:tabs>
        <w:numPr>
          <w:ilvl w:val="1"/>
          <w:numId w:val="93"/>
        </w:numPr>
        <w:rPr>
          <w:rFonts w:ascii="Arial" w:cs="Arial" w:eastAsia="Arial" w:hAnsi="Arial"/>
          <w:sz w:val="20"/>
          <w:szCs w:val="20"/>
          <w:color w:val="auto"/>
        </w:rPr>
      </w:pPr>
      <w:r>
        <w:rPr>
          <w:rFonts w:ascii="Arial" w:cs="Arial" w:eastAsia="Arial" w:hAnsi="Arial"/>
          <w:sz w:val="19"/>
          <w:szCs w:val="19"/>
          <w:i w:val="1"/>
          <w:iCs w:val="1"/>
          <w:color w:val="auto"/>
        </w:rPr>
        <w:t xml:space="preserve">Payment of Awards: </w:t>
      </w:r>
      <w:r>
        <w:rPr>
          <w:rFonts w:ascii="Arial" w:cs="Arial" w:eastAsia="Arial" w:hAnsi="Arial"/>
          <w:sz w:val="19"/>
          <w:szCs w:val="19"/>
          <w:color w:val="auto"/>
        </w:rPr>
        <w:t>An award earned by a participant with respect to a performance period shall be paid to him as soon as</w:t>
      </w:r>
      <w:r>
        <w:rPr>
          <w:rFonts w:ascii="Arial" w:cs="Arial" w:eastAsia="Arial" w:hAnsi="Arial"/>
          <w:sz w:val="19"/>
          <w:szCs w:val="19"/>
          <w:i w:val="1"/>
          <w:iCs w:val="1"/>
          <w:color w:val="auto"/>
        </w:rPr>
        <w:t xml:space="preserve"> </w:t>
      </w:r>
      <w:r>
        <w:rPr>
          <w:rFonts w:ascii="Arial" w:cs="Arial" w:eastAsia="Arial" w:hAnsi="Arial"/>
          <w:sz w:val="19"/>
          <w:szCs w:val="19"/>
          <w:color w:val="auto"/>
        </w:rPr>
        <w:t>practicable following the determination of the amount, if any, of the award and, with respect to participants who are covered employees, the Committee's written certification (or other approval made in accordance with Code Section 162(m)) that the participant achieved his performance goals. Without limiting the foregoing, awards payable under the Plan shall be paid no later than the later of (i) the 15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the third month following the end of the participant's first taxable year in which the right to payment is no longer subject to a substantial risk of forfeiture, or (ii) the 15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the third month following the end of the Company's first taxable year in which the right to payment is no longer subject to a substantial risk of forfeiture, or shall otherwise be structured in a manner to be exempt from, or in compliance with, Code Section 409A. Notwithstanding the foregoing, when the Company reasonably anticipates that any deduction for its payment would be limited or eliminated by Code Section 162(m), such payment may be delayed until the earlier of the following:</w:t>
      </w:r>
    </w:p>
    <w:p>
      <w:pPr>
        <w:spacing w:after="0" w:line="1" w:lineRule="exact"/>
        <w:rPr>
          <w:rFonts w:ascii="Arial" w:cs="Arial" w:eastAsia="Arial" w:hAnsi="Arial"/>
          <w:sz w:val="20"/>
          <w:szCs w:val="20"/>
          <w:color w:val="auto"/>
        </w:rPr>
      </w:pPr>
    </w:p>
    <w:p>
      <w:pPr>
        <w:jc w:val="both"/>
        <w:ind w:firstLine="8"/>
        <w:spacing w:after="0" w:line="271" w:lineRule="auto"/>
        <w:tabs>
          <w:tab w:leader="none" w:pos="27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date which is as soon as reasonably practicable following the first date on which the Company reasonably anticipates that the deduction will not be limited or eliminated by Code Section 162(m), or (ii) the date which is as soon as reasonably practicable following the end of the calendar year in which the participant separates from service, or such payment shall be otherwise structured so as to comply with Code Section 409A, related regulations and other guidance. The Committee shall not have any discretion to increase the amount of an award earned and payable pursuant to the terms of the Plan to any participant who is a covered employee (except to the extent otherwise provided pursuant to Section 7 herein in the event of a change of control). The Committee shall have the unilateral discretion to reduce or eliminate the amount of an award granted to any participant, including an award otherwise earned and payable pursuant to the terms of the Plan.</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26" w:right="239" w:bottom="1440" w:gutter="0" w:footer="0" w:header="0"/>
        </w:sectPr>
      </w:pPr>
    </w:p>
    <w:bookmarkStart w:id="141" w:name="page142"/>
    <w:bookmarkEnd w:id="141"/>
    <w:p>
      <w:pPr>
        <w:ind w:left="660" w:hanging="652"/>
        <w:spacing w:after="0"/>
        <w:tabs>
          <w:tab w:leader="none" w:pos="660" w:val="left"/>
        </w:tabs>
        <w:numPr>
          <w:ilvl w:val="0"/>
          <w:numId w:val="95"/>
        </w:numPr>
        <w:rPr>
          <w:rFonts w:ascii="Arial" w:cs="Arial" w:eastAsia="Arial" w:hAnsi="Arial"/>
          <w:sz w:val="22"/>
          <w:szCs w:val="22"/>
          <w:b w:val="1"/>
          <w:bCs w:val="1"/>
          <w:color w:val="auto"/>
        </w:rPr>
      </w:pPr>
      <w:r>
        <w:rPr>
          <w:rFonts w:ascii="Arial" w:cs="Arial" w:eastAsia="Arial" w:hAnsi="Arial"/>
          <w:sz w:val="21"/>
          <w:szCs w:val="21"/>
          <w:b w:val="1"/>
          <w:bCs w:val="1"/>
          <w:color w:val="auto"/>
        </w:rPr>
        <w:t>Termination of Employment and Other Events; Covenants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Committee shall specify the circumstances in which awards shall be paid or forfeited in the event of termination of employment by the participant or other event prior to the end of a performance period or prior to payment of such awards. Unless otherwise determined by the Committee, if a participant dies, retires, is assigned to a different position, is granted a leave of absence, or if the participant's employment is otherwise terminated (except for cause by the Company) during a performance period, a pro rata share of the participant's award based on the period of actual participation may, at the Committee's discretion, be paid to the participant after the end of the performance period if and to the extent that it would have become earned and payable had the participant's employment status not changed. The Committee may require a participant, as a condition to the grant or payment of an award, to enter or have entered into agreements or covenants with the Company obligating the participant to not compete, to not interfere with the relationships of the Company with customers, suppliers or employees in any way, to refrain from disclosing or misusing confidential or proprietary information of the Company, and to take or refrain from taking such other actions adverse to the Company as the Committee may specify. The form of such agreements or covenants shall be specified by the Committee, which may vary such form from time to time and require renewal of the agreements or covenants, as then specified by the Committee, in connection with the allocation or payout of any award. For the purposes herein, termination for "cause" shall mean termination for cause under the terms of any employment, consulting, change in control or similar agreement if any, between the Company and the participant, or, if the participant has not entered into any such agreement (or if any such agreement does not define "cause"), "cause" shall have the meaning ascribed to such term under RFMD’s 2012 Stock Incentive Plan (as assumed and amended and restated by Qorvo, and as it may be further amended) or any successor to such stock incentive plan.</w:t>
      </w:r>
    </w:p>
    <w:p>
      <w:pPr>
        <w:spacing w:after="0" w:line="178"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2"/>
          <w:szCs w:val="22"/>
          <w:b w:val="1"/>
          <w:bCs w:val="1"/>
          <w:color w:val="auto"/>
        </w:rPr>
      </w:pPr>
      <w:r>
        <w:rPr>
          <w:rFonts w:ascii="Arial" w:cs="Arial" w:eastAsia="Arial" w:hAnsi="Arial"/>
          <w:sz w:val="21"/>
          <w:szCs w:val="21"/>
          <w:b w:val="1"/>
          <w:bCs w:val="1"/>
          <w:color w:val="auto"/>
        </w:rPr>
        <w:t>Change of Control</w:t>
      </w:r>
    </w:p>
    <w:p>
      <w:pPr>
        <w:spacing w:after="0" w:line="225" w:lineRule="exact"/>
        <w:rPr>
          <w:rFonts w:ascii="Arial" w:cs="Arial" w:eastAsia="Arial" w:hAnsi="Arial"/>
          <w:sz w:val="22"/>
          <w:szCs w:val="22"/>
          <w:b w:val="1"/>
          <w:bCs w:val="1"/>
          <w:color w:val="auto"/>
        </w:rPr>
      </w:pPr>
    </w:p>
    <w:p>
      <w:pPr>
        <w:jc w:val="both"/>
        <w:ind w:firstLine="656"/>
        <w:spacing w:after="0" w:line="286" w:lineRule="auto"/>
        <w:tabs>
          <w:tab w:leader="none" w:pos="1122" w:val="left"/>
        </w:tabs>
        <w:numPr>
          <w:ilvl w:val="1"/>
          <w:numId w:val="96"/>
        </w:numPr>
        <w:rPr>
          <w:rFonts w:ascii="Arial" w:cs="Arial" w:eastAsia="Arial" w:hAnsi="Arial"/>
          <w:sz w:val="19"/>
          <w:szCs w:val="19"/>
          <w:color w:val="auto"/>
        </w:rPr>
      </w:pPr>
      <w:r>
        <w:rPr>
          <w:rFonts w:ascii="Arial" w:cs="Arial" w:eastAsia="Arial" w:hAnsi="Arial"/>
          <w:sz w:val="19"/>
          <w:szCs w:val="19"/>
          <w:color w:val="auto"/>
        </w:rPr>
        <w:t>Notwithstanding any other provision in the Plan to the contrary, and except as may be otherwise provided in Section 7(b) herein, in the event of a "change of control" (as defined in Section 7(c)), all awards granted pursuant to the Plan shall be deemed to be earned at target bonus based on the assumption that any applicable performance goals were met in full; provided, however, that the amount of any such target bonus shall be reduced on a pro rata basis, so that the participant shall only receive a pro rata portion of the target bonus for each completed month of the applicable performance period which had elapsed when the change of control occurred. By way of example (and not limitation), if (i) a participant would have been entitled to a $100,000 target bonus based on attainment of applicable performance goals during a 12-month performance period, and (ii) a change of control occurs during the seventh month of the performance period, the participant shall be entitled to a $50,000 bonus (one-half of the $100,000 target bonus that would otherwise have been payable if the full performance period had elapsed), treating any applicable performance goals as being fully met. In the event of a change of control, any bonuses payable under Section 7 shall be immediately due and payable, without regard to whether such bonuses are deductible under Code Section 162(m) and without regard to whether the participant continues in service in the same position following the change of control, has a change in position or responsibility, or is terminated from employment with the Company (or successor or surviving corporation). In addition, without in any way limiting the preceding, in the event that a participant has entered into an employment agreement, change in control agreement or similar agreement with the Company, the participant shall be entitled to the greater of the benefits payable upon a change of control of the Company pursuant to Section 7 herein or the respective employment agreement, change in control</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633" w:right="2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21"/>
          <w:szCs w:val="21"/>
          <w:color w:val="auto"/>
        </w:rPr>
        <w:t>agreement or similar agreement, and such employment agreement, change in control agreement or similar agreement shall not be construed to reduce in any way the benefits otherwise payable to a participant upon the occurrence of a change of control as defined in the Plan.</w:t>
      </w:r>
    </w:p>
    <w:p>
      <w:pPr>
        <w:spacing w:after="0" w:line="195" w:lineRule="exact"/>
        <w:rPr>
          <w:sz w:val="20"/>
          <w:szCs w:val="20"/>
          <w:color w:val="auto"/>
        </w:rPr>
      </w:pPr>
    </w:p>
    <w:p>
      <w:pPr>
        <w:jc w:val="both"/>
        <w:ind w:firstLine="656"/>
        <w:spacing w:after="0" w:line="298" w:lineRule="auto"/>
        <w:tabs>
          <w:tab w:leader="none" w:pos="1107" w:val="left"/>
        </w:tabs>
        <w:numPr>
          <w:ilvl w:val="0"/>
          <w:numId w:val="97"/>
        </w:numPr>
        <w:rPr>
          <w:rFonts w:ascii="Arial" w:cs="Arial" w:eastAsia="Arial" w:hAnsi="Arial"/>
          <w:sz w:val="19"/>
          <w:szCs w:val="19"/>
          <w:color w:val="auto"/>
        </w:rPr>
      </w:pPr>
      <w:r>
        <w:rPr>
          <w:rFonts w:ascii="Arial" w:cs="Arial" w:eastAsia="Arial" w:hAnsi="Arial"/>
          <w:sz w:val="19"/>
          <w:szCs w:val="19"/>
          <w:color w:val="auto"/>
        </w:rPr>
        <w:t>Notwithstanding the provisions of Section 7(a), in the event that a change of control occurs, the Committee may, in its sole and absolute discretion, determine that any or all awards granted pursuant to the Plan shall be in an amount greater than the amount of pro rata bonus payments that would otherwise be payable under Section 7(a) herein, up to the maximum bonus opportunity. In the event of a change of control, the Company or the surviving or acquiring corporation shall not take any action to reduce the awards granted pursuant to the Plan below the amount of pro rata payments that would otherwise be payable under Section 7(a) herein.</w:t>
      </w:r>
    </w:p>
    <w:p>
      <w:pPr>
        <w:spacing w:after="0" w:line="156" w:lineRule="exact"/>
        <w:rPr>
          <w:rFonts w:ascii="Arial" w:cs="Arial" w:eastAsia="Arial" w:hAnsi="Arial"/>
          <w:sz w:val="19"/>
          <w:szCs w:val="19"/>
          <w:color w:val="auto"/>
        </w:rPr>
      </w:pPr>
    </w:p>
    <w:p>
      <w:pPr>
        <w:jc w:val="both"/>
        <w:ind w:firstLine="656"/>
        <w:spacing w:after="0" w:line="314" w:lineRule="auto"/>
        <w:tabs>
          <w:tab w:leader="none" w:pos="1163" w:val="left"/>
        </w:tabs>
        <w:numPr>
          <w:ilvl w:val="0"/>
          <w:numId w:val="97"/>
        </w:numPr>
        <w:rPr>
          <w:rFonts w:ascii="Arial" w:cs="Arial" w:eastAsia="Arial" w:hAnsi="Arial"/>
          <w:sz w:val="19"/>
          <w:szCs w:val="19"/>
          <w:color w:val="auto"/>
        </w:rPr>
      </w:pPr>
      <w:r>
        <w:rPr>
          <w:rFonts w:ascii="Arial" w:cs="Arial" w:eastAsia="Arial" w:hAnsi="Arial"/>
          <w:sz w:val="19"/>
          <w:szCs w:val="19"/>
          <w:color w:val="auto"/>
        </w:rPr>
        <w:t>For the purposes herein, for each participant, a "change of control" shall have the definition given the term "change in control" in the participant's change in control agreement with the Company, or, if the participant has not entered into a change in control agreement with the Company, then a "change of control" shall be deemed to have occurred on the earliest of the following dates:</w:t>
      </w:r>
    </w:p>
    <w:p>
      <w:pPr>
        <w:spacing w:after="0" w:line="141" w:lineRule="exact"/>
        <w:rPr>
          <w:rFonts w:ascii="Arial" w:cs="Arial" w:eastAsia="Arial" w:hAnsi="Arial"/>
          <w:sz w:val="19"/>
          <w:szCs w:val="19"/>
          <w:color w:val="auto"/>
        </w:rPr>
      </w:pPr>
    </w:p>
    <w:p>
      <w:pPr>
        <w:ind w:left="660" w:firstLine="645"/>
        <w:spacing w:after="0" w:line="281" w:lineRule="auto"/>
        <w:tabs>
          <w:tab w:leader="none" w:pos="1719" w:val="left"/>
        </w:tabs>
        <w:numPr>
          <w:ilvl w:val="1"/>
          <w:numId w:val="97"/>
        </w:numPr>
        <w:rPr>
          <w:rFonts w:ascii="Arial" w:cs="Arial" w:eastAsia="Arial" w:hAnsi="Arial"/>
          <w:sz w:val="22"/>
          <w:szCs w:val="22"/>
          <w:color w:val="auto"/>
        </w:rPr>
      </w:pPr>
      <w:r>
        <w:rPr>
          <w:rFonts w:ascii="Arial" w:cs="Arial" w:eastAsia="Arial" w:hAnsi="Arial"/>
          <w:sz w:val="21"/>
          <w:szCs w:val="21"/>
          <w:color w:val="auto"/>
        </w:rPr>
        <w:t>The date any entity or person shall have become the beneficial owner of, or shall have obtained voting control over, more than fifty percent (50%) of the total voting power of the Company's then outstanding voting stock;</w:t>
      </w:r>
    </w:p>
    <w:p>
      <w:pPr>
        <w:spacing w:after="0" w:line="163" w:lineRule="exact"/>
        <w:rPr>
          <w:rFonts w:ascii="Arial" w:cs="Arial" w:eastAsia="Arial" w:hAnsi="Arial"/>
          <w:sz w:val="22"/>
          <w:szCs w:val="22"/>
          <w:color w:val="auto"/>
        </w:rPr>
      </w:pPr>
    </w:p>
    <w:p>
      <w:pPr>
        <w:jc w:val="both"/>
        <w:ind w:left="660" w:firstLine="645"/>
        <w:spacing w:after="0" w:line="279" w:lineRule="auto"/>
        <w:tabs>
          <w:tab w:leader="none" w:pos="1914" w:val="left"/>
        </w:tabs>
        <w:numPr>
          <w:ilvl w:val="1"/>
          <w:numId w:val="97"/>
        </w:numPr>
        <w:rPr>
          <w:rFonts w:ascii="Arial" w:cs="Arial" w:eastAsia="Arial" w:hAnsi="Arial"/>
          <w:sz w:val="21"/>
          <w:szCs w:val="21"/>
          <w:color w:val="auto"/>
        </w:rPr>
      </w:pPr>
      <w:r>
        <w:rPr>
          <w:rFonts w:ascii="Arial" w:cs="Arial" w:eastAsia="Arial" w:hAnsi="Arial"/>
          <w:sz w:val="20"/>
          <w:szCs w:val="20"/>
          <w:color w:val="auto"/>
        </w:rPr>
        <w:t>The date of the consummation of (A) a merger, consolidation or reorganization of the Company (or similar transaction involving the Company), in which the holders of the Common Stock immediately prior to the transaction have voting control over less than fifty percent (50%) of the voting securities of the surviving corporation immediately after such transaction, or (B) the sale or disposition of all or substantially all the assets of the Company; or</w:t>
      </w:r>
    </w:p>
    <w:p>
      <w:pPr>
        <w:spacing w:after="0" w:line="173" w:lineRule="exact"/>
        <w:rPr>
          <w:rFonts w:ascii="Arial" w:cs="Arial" w:eastAsia="Arial" w:hAnsi="Arial"/>
          <w:sz w:val="21"/>
          <w:szCs w:val="21"/>
          <w:color w:val="auto"/>
        </w:rPr>
      </w:pPr>
    </w:p>
    <w:p>
      <w:pPr>
        <w:jc w:val="both"/>
        <w:ind w:left="660" w:firstLine="645"/>
        <w:spacing w:after="0" w:line="262" w:lineRule="auto"/>
        <w:tabs>
          <w:tab w:leader="none" w:pos="1826" w:val="left"/>
        </w:tabs>
        <w:numPr>
          <w:ilvl w:val="1"/>
          <w:numId w:val="97"/>
        </w:numPr>
        <w:rPr>
          <w:rFonts w:ascii="Arial" w:cs="Arial" w:eastAsia="Arial" w:hAnsi="Arial"/>
          <w:sz w:val="22"/>
          <w:szCs w:val="22"/>
          <w:color w:val="auto"/>
        </w:rPr>
      </w:pPr>
      <w:r>
        <w:rPr>
          <w:rFonts w:ascii="Arial" w:cs="Arial" w:eastAsia="Arial" w:hAnsi="Arial"/>
          <w:sz w:val="21"/>
          <w:szCs w:val="21"/>
          <w:color w:val="auto"/>
        </w:rPr>
        <w:t>The date there shall have been a change in a majority of the Board within a 12-month period unless the nomination for election by the Company's stockholders of each new director was approved by the vote of two-thirds of the members of the Board (or a committee of the Board, if nominations are approved by a Board committee rather than the Board) then still in office who were in office at the beginning of the 12-month period.</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purposes herein, the term "person" shall mean any individual, corporation, partnership, group, association or other “person”, as such term is defined in Section 13(d)(3) or Section 14(d)(2) of the Exchange Act, other than the Company, its affiliates or any employee benefit plan(s) sponsored or maintained by the Company or any affiliate thereof, and the term "beneficial owner" shall have the meaning given the term in Rule 13d-3 under the Exchange Act.)</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purposes of clarity, a transaction shall not constitute a change of control if its principal purpose is to change the state of the Company's incorporation, create a holding company that would be owned in substantially the same proportions by the persons who held the Company's securities immediately before such transaction or is another transaction of other similar effect.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26" w:right="239" w:bottom="1440" w:gutter="0" w:footer="0" w:header="0"/>
        </w:sectPr>
      </w:pPr>
    </w:p>
    <w:bookmarkStart w:id="143" w:name="page144"/>
    <w:bookmarkEnd w:id="143"/>
    <w:p>
      <w:pPr>
        <w:ind w:left="660" w:hanging="652"/>
        <w:spacing w:after="0"/>
        <w:tabs>
          <w:tab w:leader="none" w:pos="660" w:val="left"/>
        </w:tabs>
        <w:numPr>
          <w:ilvl w:val="0"/>
          <w:numId w:val="98"/>
        </w:numPr>
        <w:rPr>
          <w:rFonts w:ascii="Arial" w:cs="Arial" w:eastAsia="Arial" w:hAnsi="Arial"/>
          <w:sz w:val="22"/>
          <w:szCs w:val="22"/>
          <w:b w:val="1"/>
          <w:bCs w:val="1"/>
          <w:color w:val="auto"/>
        </w:rPr>
      </w:pPr>
      <w:r>
        <w:rPr>
          <w:rFonts w:ascii="Arial" w:cs="Arial" w:eastAsia="Arial" w:hAnsi="Arial"/>
          <w:sz w:val="21"/>
          <w:szCs w:val="21"/>
          <w:b w:val="1"/>
          <w:bCs w:val="1"/>
          <w:color w:val="auto"/>
        </w:rPr>
        <w:t>No Right to Employment</w:t>
      </w:r>
    </w:p>
    <w:p>
      <w:pPr>
        <w:spacing w:after="0" w:line="21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Nothing contained in this Plan or any action taken pursuant to the Plan shall be construed as conferring upon any participant the right or imposing upon him the obligation to continue in the employment of or service to the Company, nor shall it be construed as imposing upon the Company the obligation to continue the employment or service of a participant. Except as may be otherwise provided in the Plan or determined by the Committee, all rights of a participant with respect to an award and distribution of any cash payment subject to an award shall terminate and be forfeited upon a participant's termination of employment or service with the Company.</w:t>
      </w:r>
    </w:p>
    <w:p>
      <w:pPr>
        <w:spacing w:after="0" w:line="154"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2"/>
          <w:szCs w:val="22"/>
          <w:b w:val="1"/>
          <w:bCs w:val="1"/>
          <w:color w:val="auto"/>
        </w:rPr>
      </w:pPr>
      <w:r>
        <w:rPr>
          <w:rFonts w:ascii="Arial" w:cs="Arial" w:eastAsia="Arial" w:hAnsi="Arial"/>
          <w:sz w:val="21"/>
          <w:szCs w:val="21"/>
          <w:b w:val="1"/>
          <w:bCs w:val="1"/>
          <w:color w:val="auto"/>
        </w:rPr>
        <w:t>Amendment and Termination</w:t>
      </w:r>
    </w:p>
    <w:p>
      <w:pPr>
        <w:spacing w:after="0" w:line="21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The Board of Directors of the Company may amend, discontinue or terminate the Plan in whole or in part at any time, provided that (a) approval of an amendment to the Plan by the stockholders of the Company shall be required to the extent, if any, that stockholder approval of such amendment is required by applicable laws, rules or regulations; and (b) except as otherwise provided in Section 5(e), no such amendment, discontinuance or termination of the Plan shall adversely affect any award earned and payable under the Plan as of the date of such amendment or termination without the participant's consent. However, notwithstanding the foregoing, the Committee shall have unilateral authority to amend the Plan and any award (without participant consent) to the extent necessary to comply with applicable laws, rules or regulations or changes to applicable laws, rules or regulations (including but in no way limited to Code Section 162(m) and Code Section 409A, related regulations and other guidance), and to reduce or eliminate the amount of an award, as provided in Section 5(e).</w:t>
      </w:r>
    </w:p>
    <w:p>
      <w:pPr>
        <w:spacing w:after="0" w:line="186"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22"/>
          <w:szCs w:val="22"/>
          <w:b w:val="1"/>
          <w:bCs w:val="1"/>
          <w:color w:val="auto"/>
        </w:rPr>
      </w:pPr>
      <w:r>
        <w:rPr>
          <w:rFonts w:ascii="Arial" w:cs="Arial" w:eastAsia="Arial" w:hAnsi="Arial"/>
          <w:sz w:val="21"/>
          <w:szCs w:val="21"/>
          <w:b w:val="1"/>
          <w:bCs w:val="1"/>
          <w:color w:val="auto"/>
        </w:rPr>
        <w:t>Effective Date</w:t>
      </w:r>
    </w:p>
    <w:p>
      <w:pPr>
        <w:spacing w:after="0" w:line="21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color w:val="auto"/>
        </w:rPr>
        <w:t>The Plan became effective on June 1, 2006, following approval by the Board and the shareholders of the Company as required by Code Section 162(m) and related regulations. The Plan was amended and restated by RFMD effective June 20, 2011. The Plan was assumed and further amended and restated by Qorvo effective January 1, 2015. To the extent required under Code Section 162(m), awards under the Plan granted prior to any required stockholder approval shall be conditioned upon and shall be payable only upon approval of such performance criteria by the stockholders of the Company in accordance with the requirements of Code Section 162(m).</w:t>
      </w:r>
    </w:p>
    <w:p>
      <w:pPr>
        <w:spacing w:after="0" w:line="154"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22"/>
          <w:szCs w:val="22"/>
          <w:b w:val="1"/>
          <w:bCs w:val="1"/>
          <w:color w:val="auto"/>
        </w:rPr>
      </w:pPr>
      <w:r>
        <w:rPr>
          <w:rFonts w:ascii="Arial" w:cs="Arial" w:eastAsia="Arial" w:hAnsi="Arial"/>
          <w:sz w:val="21"/>
          <w:szCs w:val="21"/>
          <w:b w:val="1"/>
          <w:bCs w:val="1"/>
          <w:color w:val="auto"/>
        </w:rPr>
        <w:t>Miscellaneous</w:t>
      </w:r>
    </w:p>
    <w:p>
      <w:pPr>
        <w:spacing w:after="0" w:line="225" w:lineRule="exact"/>
        <w:rPr>
          <w:rFonts w:ascii="Arial" w:cs="Arial" w:eastAsia="Arial" w:hAnsi="Arial"/>
          <w:sz w:val="22"/>
          <w:szCs w:val="22"/>
          <w:b w:val="1"/>
          <w:bCs w:val="1"/>
          <w:color w:val="auto"/>
        </w:rPr>
      </w:pPr>
    </w:p>
    <w:p>
      <w:pPr>
        <w:jc w:val="both"/>
        <w:ind w:firstLine="656"/>
        <w:spacing w:after="0" w:line="313" w:lineRule="auto"/>
        <w:tabs>
          <w:tab w:leader="none" w:pos="1190"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Taxes; Offset</w:t>
      </w:r>
      <w:r>
        <w:rPr>
          <w:rFonts w:ascii="Arial" w:cs="Arial" w:eastAsia="Arial" w:hAnsi="Arial"/>
          <w:sz w:val="18"/>
          <w:szCs w:val="18"/>
          <w:color w:val="auto"/>
        </w:rPr>
        <w:t>: Any tax required to be withheld by any government authority shall be deducted from each award.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no responsibility to take or refrain from taking any actions in order to achieve a certain tax result for the participant or any other person. Participants are solely responsible and liable for the satisfaction of all taxes and penalties that may arise in connection with awards (including any taxes arising under Code Section 409A), and the Company shall not have any obligation to indemnify or otherwise hold any participant harmless from any or all of such taxes. The Committee, in its sole discretion (but subject to applicable law), may apply any amounts payable to any participant hereunder as a setoff to satisfy any liabilities owed to the Company by the participant.</w:t>
      </w:r>
    </w:p>
    <w:p>
      <w:pPr>
        <w:spacing w:after="0" w:line="149" w:lineRule="exact"/>
        <w:rPr>
          <w:rFonts w:ascii="Arial" w:cs="Arial" w:eastAsia="Arial" w:hAnsi="Arial"/>
          <w:sz w:val="18"/>
          <w:szCs w:val="18"/>
          <w:color w:val="auto"/>
        </w:rPr>
      </w:pPr>
    </w:p>
    <w:p>
      <w:pPr>
        <w:ind w:firstLine="656"/>
        <w:spacing w:after="0" w:line="279" w:lineRule="auto"/>
        <w:tabs>
          <w:tab w:leader="none" w:pos="1175" w:val="left"/>
        </w:tabs>
        <w:numPr>
          <w:ilvl w:val="1"/>
          <w:numId w:val="101"/>
        </w:numPr>
        <w:rPr>
          <w:rFonts w:ascii="Arial" w:cs="Arial" w:eastAsia="Arial" w:hAnsi="Arial"/>
          <w:sz w:val="22"/>
          <w:szCs w:val="22"/>
          <w:color w:val="auto"/>
        </w:rPr>
      </w:pPr>
      <w:r>
        <w:rPr>
          <w:rFonts w:ascii="Arial" w:cs="Arial" w:eastAsia="Arial" w:hAnsi="Arial"/>
          <w:sz w:val="21"/>
          <w:szCs w:val="21"/>
          <w:i w:val="1"/>
          <w:iCs w:val="1"/>
          <w:color w:val="auto"/>
        </w:rPr>
        <w:t>Nonassignability</w:t>
      </w:r>
      <w:r>
        <w:rPr>
          <w:rFonts w:ascii="Arial" w:cs="Arial" w:eastAsia="Arial" w:hAnsi="Arial"/>
          <w:sz w:val="21"/>
          <w:szCs w:val="21"/>
          <w:color w:val="auto"/>
        </w:rPr>
        <w:t>: Unless the Committee determines otherwise, awards and any other rights under the Plan shall not be</w:t>
      </w:r>
      <w:r>
        <w:rPr>
          <w:rFonts w:ascii="Arial" w:cs="Arial" w:eastAsia="Arial" w:hAnsi="Arial"/>
          <w:sz w:val="21"/>
          <w:szCs w:val="21"/>
          <w:i w:val="1"/>
          <w:iCs w:val="1"/>
          <w:color w:val="auto"/>
        </w:rPr>
        <w:t xml:space="preserve"> </w:t>
      </w:r>
      <w:r>
        <w:rPr>
          <w:rFonts w:ascii="Arial" w:cs="Arial" w:eastAsia="Arial" w:hAnsi="Arial"/>
          <w:sz w:val="21"/>
          <w:szCs w:val="21"/>
          <w:color w:val="auto"/>
        </w:rPr>
        <w:t>subject to anticipation, alienation, pledge, transfer or assignment by</w:t>
      </w:r>
    </w:p>
    <w:p>
      <w:pPr>
        <w:spacing w:after="0" w:line="39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633" w:right="239" w:bottom="1440" w:gutter="0" w:footer="0" w:header="0"/>
        </w:sectPr>
      </w:pPr>
    </w:p>
    <w:bookmarkStart w:id="144" w:name="page145"/>
    <w:bookmarkEnd w:id="144"/>
    <w:p>
      <w:pPr>
        <w:spacing w:after="0"/>
        <w:rPr>
          <w:sz w:val="20"/>
          <w:szCs w:val="20"/>
          <w:color w:val="auto"/>
        </w:rPr>
      </w:pPr>
      <w:r>
        <w:rPr>
          <w:rFonts w:ascii="Arial" w:cs="Arial" w:eastAsia="Arial" w:hAnsi="Arial"/>
          <w:sz w:val="21"/>
          <w:szCs w:val="21"/>
          <w:color w:val="auto"/>
        </w:rPr>
        <w:t>any person entitled thereto, except by designation of a beneficiary or by will or the laws of intestate succession.</w:t>
      </w:r>
    </w:p>
    <w:p>
      <w:pPr>
        <w:spacing w:after="0" w:line="231" w:lineRule="exact"/>
        <w:rPr>
          <w:sz w:val="20"/>
          <w:szCs w:val="20"/>
          <w:color w:val="auto"/>
        </w:rPr>
      </w:pPr>
    </w:p>
    <w:p>
      <w:pPr>
        <w:jc w:val="both"/>
        <w:ind w:firstLine="656"/>
        <w:spacing w:after="0" w:line="291" w:lineRule="auto"/>
        <w:tabs>
          <w:tab w:leader="none" w:pos="1136"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No Trust; Unfunded Plan</w:t>
      </w:r>
      <w:r>
        <w:rPr>
          <w:rFonts w:ascii="Arial" w:cs="Arial" w:eastAsia="Arial" w:hAnsi="Arial"/>
          <w:sz w:val="19"/>
          <w:szCs w:val="19"/>
          <w:color w:val="auto"/>
        </w:rPr>
        <w:t>: The obligation of the Company to make payments hereunder shall constitute a liability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to the participants. Such payments shall be made from the general funds of the Company, and the Company shall not be required to establish or maintain any special or separate fund, or otherwise to segregate assets to assure that such payments shall be made, and neither the participants nor their beneficiaries shall have any interest in any particular assets of the Company by reason of its obligations hereunder. Nothing contained in this Plan shall create or be construed as creating a trust of any kind or any other fiduciary relationship between the Company and the participants or any other person or constitute a guarantee that the assets of the Company shall be sufficient to pay any benefits to any person. To the extent that any person acquires a right to receive payments from the Company hereunder, such right shall be no greater than the right of an unsecured creditor of the Company.</w:t>
      </w:r>
    </w:p>
    <w:p>
      <w:pPr>
        <w:spacing w:after="0" w:line="163" w:lineRule="exact"/>
        <w:rPr>
          <w:rFonts w:ascii="Arial" w:cs="Arial" w:eastAsia="Arial" w:hAnsi="Arial"/>
          <w:sz w:val="19"/>
          <w:szCs w:val="19"/>
          <w:color w:val="auto"/>
        </w:rPr>
      </w:pPr>
    </w:p>
    <w:p>
      <w:pPr>
        <w:jc w:val="both"/>
        <w:ind w:firstLine="656"/>
        <w:spacing w:after="0" w:line="275" w:lineRule="auto"/>
        <w:tabs>
          <w:tab w:leader="none" w:pos="1215" w:val="left"/>
        </w:tabs>
        <w:numPr>
          <w:ilvl w:val="0"/>
          <w:numId w:val="102"/>
        </w:numPr>
        <w:rPr>
          <w:rFonts w:ascii="Arial" w:cs="Arial" w:eastAsia="Arial" w:hAnsi="Arial"/>
          <w:sz w:val="21"/>
          <w:szCs w:val="21"/>
          <w:color w:val="auto"/>
        </w:rPr>
      </w:pPr>
      <w:r>
        <w:rPr>
          <w:rFonts w:ascii="Arial" w:cs="Arial" w:eastAsia="Arial" w:hAnsi="Arial"/>
          <w:sz w:val="20"/>
          <w:szCs w:val="20"/>
          <w:i w:val="1"/>
          <w:iCs w:val="1"/>
          <w:color w:val="auto"/>
        </w:rPr>
        <w:t xml:space="preserve">Impact of Plan Award on other Plans: </w:t>
      </w:r>
      <w:r>
        <w:rPr>
          <w:rFonts w:ascii="Arial" w:cs="Arial" w:eastAsia="Arial" w:hAnsi="Arial"/>
          <w:sz w:val="20"/>
          <w:szCs w:val="20"/>
          <w:color w:val="auto"/>
        </w:rPr>
        <w:t>Awards granted pursuant to the Plan shall not be treated as compensation for</w:t>
      </w:r>
      <w:r>
        <w:rPr>
          <w:rFonts w:ascii="Arial" w:cs="Arial" w:eastAsia="Arial" w:hAnsi="Arial"/>
          <w:sz w:val="20"/>
          <w:szCs w:val="20"/>
          <w:i w:val="1"/>
          <w:iCs w:val="1"/>
          <w:color w:val="auto"/>
        </w:rPr>
        <w:t xml:space="preserve"> </w:t>
      </w:r>
      <w:r>
        <w:rPr>
          <w:rFonts w:ascii="Arial" w:cs="Arial" w:eastAsia="Arial" w:hAnsi="Arial"/>
          <w:sz w:val="20"/>
          <w:szCs w:val="20"/>
          <w:color w:val="auto"/>
        </w:rPr>
        <w:t>purposes of any other compensation or benefit plan, program or arrangement of the Company, unless either (i) such other plan, program or arrangement provides that compensation in the form of awards payable under the Plan are to be considered as compensation thereunder, or (ii) the Committee so determines. The adoption of the Plan shall not affect any other incentive or other compensation plans or programs in effect for the Company, nor shall the Plan preclude the Company from establishing any other forms of incentive or other compensation for employees of the Company.</w:t>
      </w:r>
    </w:p>
    <w:p>
      <w:pPr>
        <w:spacing w:after="0" w:line="174" w:lineRule="exact"/>
        <w:rPr>
          <w:rFonts w:ascii="Arial" w:cs="Arial" w:eastAsia="Arial" w:hAnsi="Arial"/>
          <w:sz w:val="21"/>
          <w:szCs w:val="21"/>
          <w:color w:val="auto"/>
        </w:rPr>
      </w:pPr>
    </w:p>
    <w:p>
      <w:pPr>
        <w:jc w:val="both"/>
        <w:ind w:firstLine="656"/>
        <w:spacing w:after="0" w:line="260" w:lineRule="auto"/>
        <w:tabs>
          <w:tab w:leader="none" w:pos="1082" w:val="left"/>
        </w:tabs>
        <w:numPr>
          <w:ilvl w:val="0"/>
          <w:numId w:val="102"/>
        </w:numPr>
        <w:rPr>
          <w:rFonts w:ascii="Arial" w:cs="Arial" w:eastAsia="Arial" w:hAnsi="Arial"/>
          <w:sz w:val="22"/>
          <w:szCs w:val="22"/>
          <w:color w:val="auto"/>
        </w:rPr>
      </w:pPr>
      <w:r>
        <w:rPr>
          <w:rFonts w:ascii="Arial" w:cs="Arial" w:eastAsia="Arial" w:hAnsi="Arial"/>
          <w:sz w:val="21"/>
          <w:szCs w:val="21"/>
          <w:i w:val="1"/>
          <w:iCs w:val="1"/>
          <w:color w:val="auto"/>
        </w:rPr>
        <w:t>Facility of Payments</w:t>
      </w:r>
      <w:r>
        <w:rPr>
          <w:rFonts w:ascii="Arial" w:cs="Arial" w:eastAsia="Arial" w:hAnsi="Arial"/>
          <w:sz w:val="21"/>
          <w:szCs w:val="21"/>
          <w:color w:val="auto"/>
        </w:rPr>
        <w:t>: If a participant or any other person entitled to receive an award under this Plan (the "recipient") shall,</w:t>
      </w:r>
      <w:r>
        <w:rPr>
          <w:rFonts w:ascii="Arial" w:cs="Arial" w:eastAsia="Arial" w:hAnsi="Arial"/>
          <w:sz w:val="21"/>
          <w:szCs w:val="21"/>
          <w:i w:val="1"/>
          <w:iCs w:val="1"/>
          <w:color w:val="auto"/>
        </w:rPr>
        <w:t xml:space="preserve"> </w:t>
      </w:r>
      <w:r>
        <w:rPr>
          <w:rFonts w:ascii="Arial" w:cs="Arial" w:eastAsia="Arial" w:hAnsi="Arial"/>
          <w:sz w:val="21"/>
          <w:szCs w:val="21"/>
          <w:color w:val="auto"/>
        </w:rPr>
        <w:t>at the time payment of any such amount is due, be incapacitated so that such recipient cannot legally receive or acknowledge receipt of the payment, then the Committee, in its sole and absolute discretion, may direct that the payment be made to the legal guardian, attorney-in-fact or person with whom such recipient is residing, and such payment shall be in full satisfaction of the Company's obligation under the Plan with respect to such amount.</w:t>
      </w:r>
    </w:p>
    <w:p>
      <w:pPr>
        <w:spacing w:after="0" w:line="192" w:lineRule="exact"/>
        <w:rPr>
          <w:rFonts w:ascii="Arial" w:cs="Arial" w:eastAsia="Arial" w:hAnsi="Arial"/>
          <w:sz w:val="22"/>
          <w:szCs w:val="22"/>
          <w:color w:val="auto"/>
        </w:rPr>
      </w:pPr>
    </w:p>
    <w:p>
      <w:pPr>
        <w:jc w:val="both"/>
        <w:ind w:firstLine="656"/>
        <w:spacing w:after="0" w:line="276" w:lineRule="auto"/>
        <w:tabs>
          <w:tab w:leader="none" w:pos="1044" w:val="left"/>
        </w:tabs>
        <w:numPr>
          <w:ilvl w:val="0"/>
          <w:numId w:val="102"/>
        </w:numPr>
        <w:rPr>
          <w:rFonts w:ascii="Arial" w:cs="Arial" w:eastAsia="Arial" w:hAnsi="Arial"/>
          <w:sz w:val="21"/>
          <w:szCs w:val="21"/>
          <w:color w:val="auto"/>
        </w:rPr>
      </w:pPr>
      <w:r>
        <w:rPr>
          <w:rFonts w:ascii="Arial" w:cs="Arial" w:eastAsia="Arial" w:hAnsi="Arial"/>
          <w:sz w:val="20"/>
          <w:szCs w:val="20"/>
          <w:i w:val="1"/>
          <w:iCs w:val="1"/>
          <w:color w:val="auto"/>
        </w:rPr>
        <w:t>Beneficiary Designation</w:t>
      </w:r>
      <w:r>
        <w:rPr>
          <w:rFonts w:ascii="Arial" w:cs="Arial" w:eastAsia="Arial" w:hAnsi="Arial"/>
          <w:sz w:val="20"/>
          <w:szCs w:val="20"/>
          <w:color w:val="auto"/>
        </w:rPr>
        <w:t>: The Committee may permit a participant to designate in writing a person or persons as beneficiary,</w:t>
      </w:r>
      <w:r>
        <w:rPr>
          <w:rFonts w:ascii="Arial" w:cs="Arial" w:eastAsia="Arial" w:hAnsi="Arial"/>
          <w:sz w:val="20"/>
          <w:szCs w:val="20"/>
          <w:i w:val="1"/>
          <w:iCs w:val="1"/>
          <w:color w:val="auto"/>
        </w:rPr>
        <w:t xml:space="preserve"> </w:t>
      </w:r>
      <w:r>
        <w:rPr>
          <w:rFonts w:ascii="Arial" w:cs="Arial" w:eastAsia="Arial" w:hAnsi="Arial"/>
          <w:sz w:val="20"/>
          <w:szCs w:val="20"/>
          <w:color w:val="auto"/>
        </w:rPr>
        <w:t>which beneficiary shall be entitled to receive settlement of awards, if any, to which the participant is otherwise entitled in the event of death. In the absence of such designation by a participant, and in the event of the participant's death, the estate of the participant shall be treated as beneficiary for purposes of the Plan, unless the Committee determines otherwise. The Committee shall have sole discretion to approve and interpret the form or forms of such beneficiary designation.</w:t>
      </w:r>
    </w:p>
    <w:p>
      <w:pPr>
        <w:spacing w:after="0" w:line="176" w:lineRule="exact"/>
        <w:rPr>
          <w:rFonts w:ascii="Arial" w:cs="Arial" w:eastAsia="Arial" w:hAnsi="Arial"/>
          <w:sz w:val="21"/>
          <w:szCs w:val="21"/>
          <w:color w:val="auto"/>
        </w:rPr>
      </w:pPr>
    </w:p>
    <w:p>
      <w:pPr>
        <w:ind w:firstLine="656"/>
        <w:spacing w:after="0" w:line="305" w:lineRule="auto"/>
        <w:tabs>
          <w:tab w:leader="none" w:pos="1080" w:val="left"/>
        </w:tabs>
        <w:numPr>
          <w:ilvl w:val="0"/>
          <w:numId w:val="102"/>
        </w:numPr>
        <w:rPr>
          <w:rFonts w:ascii="Arial" w:cs="Arial" w:eastAsia="Arial" w:hAnsi="Arial"/>
          <w:sz w:val="21"/>
          <w:szCs w:val="21"/>
          <w:color w:val="auto"/>
        </w:rPr>
      </w:pPr>
      <w:r>
        <w:rPr>
          <w:rFonts w:ascii="Arial" w:cs="Arial" w:eastAsia="Arial" w:hAnsi="Arial"/>
          <w:sz w:val="20"/>
          <w:szCs w:val="20"/>
          <w:i w:val="1"/>
          <w:iCs w:val="1"/>
          <w:color w:val="auto"/>
        </w:rPr>
        <w:t>Governing Law</w:t>
      </w:r>
      <w:r>
        <w:rPr>
          <w:rFonts w:ascii="Arial" w:cs="Arial" w:eastAsia="Arial" w:hAnsi="Arial"/>
          <w:sz w:val="20"/>
          <w:szCs w:val="20"/>
          <w:color w:val="auto"/>
        </w:rPr>
        <w:t>: The Plan shall be construed and its provisions enforced and administered in accordance with the laws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State of Delaware, without regard to the principles of conflicts of laws, and in accordance with applicable federal laws.</w:t>
      </w:r>
    </w:p>
    <w:p>
      <w:pPr>
        <w:spacing w:after="0" w:line="143" w:lineRule="exact"/>
        <w:rPr>
          <w:rFonts w:ascii="Arial" w:cs="Arial" w:eastAsia="Arial" w:hAnsi="Arial"/>
          <w:sz w:val="21"/>
          <w:szCs w:val="21"/>
          <w:color w:val="auto"/>
        </w:rPr>
      </w:pPr>
    </w:p>
    <w:p>
      <w:pPr>
        <w:jc w:val="both"/>
        <w:ind w:firstLine="656"/>
        <w:spacing w:after="0" w:line="303" w:lineRule="auto"/>
        <w:tabs>
          <w:tab w:leader="none" w:pos="1229"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Compliance with Code Section 162(m)</w:t>
      </w:r>
      <w:r>
        <w:rPr>
          <w:rFonts w:ascii="Arial" w:cs="Arial" w:eastAsia="Arial" w:hAnsi="Arial"/>
          <w:sz w:val="19"/>
          <w:szCs w:val="19"/>
          <w:color w:val="auto"/>
        </w:rPr>
        <w:t>: The Company intends that compensation under the Plan payable to covered</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will, to the extent practicable, constitute qualified "performance-based compensation" within the meaning of Code Section 162(m) and related regulations, unless otherwise determined by the Committee. Accordingly, the provisions of the Plan shall be administered and interpreted in a manner consistent with Code Section 162(m) and related regulations. If any provision</w:t>
      </w:r>
    </w:p>
    <w:p>
      <w:pPr>
        <w:spacing w:after="0" w:line="377"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26" w:right="239" w:bottom="1440" w:gutter="0" w:footer="0" w:header="0"/>
        </w:sectPr>
      </w:pPr>
    </w:p>
    <w:bookmarkStart w:id="145" w:name="page146"/>
    <w:bookmarkEnd w:id="145"/>
    <w:p>
      <w:pPr>
        <w:jc w:val="both"/>
        <w:spacing w:after="0" w:line="271" w:lineRule="auto"/>
        <w:rPr>
          <w:sz w:val="20"/>
          <w:szCs w:val="20"/>
          <w:color w:val="auto"/>
        </w:rPr>
      </w:pPr>
      <w:r>
        <w:rPr>
          <w:rFonts w:ascii="Arial" w:cs="Arial" w:eastAsia="Arial" w:hAnsi="Arial"/>
          <w:sz w:val="20"/>
          <w:szCs w:val="20"/>
          <w:color w:val="auto"/>
        </w:rPr>
        <w:t>of the Plan or any award that is granted to a covered employee (in each case, other than payments to be made pursuant to Section 6 and/or Section 7 herein) does not comply or is inconsistent with the requirements of Code Section 162(m) or related regulations, such provision shall be construed or deemed amended to the extent necessary to conform to such requirements.</w:t>
      </w:r>
    </w:p>
    <w:p>
      <w:pPr>
        <w:spacing w:after="0" w:line="180" w:lineRule="exact"/>
        <w:rPr>
          <w:sz w:val="20"/>
          <w:szCs w:val="20"/>
          <w:color w:val="auto"/>
        </w:rPr>
      </w:pPr>
    </w:p>
    <w:p>
      <w:pPr>
        <w:jc w:val="both"/>
        <w:ind w:firstLine="656"/>
        <w:spacing w:after="0" w:line="271" w:lineRule="auto"/>
        <w:tabs>
          <w:tab w:leader="none" w:pos="1100" w:val="left"/>
        </w:tabs>
        <w:numPr>
          <w:ilvl w:val="0"/>
          <w:numId w:val="103"/>
        </w:numPr>
        <w:rPr>
          <w:rFonts w:ascii="Arial" w:cs="Arial" w:eastAsia="Arial" w:hAnsi="Arial"/>
          <w:sz w:val="21"/>
          <w:szCs w:val="21"/>
          <w:color w:val="auto"/>
        </w:rPr>
      </w:pPr>
      <w:r>
        <w:rPr>
          <w:rFonts w:ascii="Arial" w:cs="Arial" w:eastAsia="Arial" w:hAnsi="Arial"/>
          <w:sz w:val="20"/>
          <w:szCs w:val="20"/>
          <w:i w:val="1"/>
          <w:iCs w:val="1"/>
          <w:color w:val="auto"/>
        </w:rPr>
        <w:t>Adjustments</w:t>
      </w:r>
      <w:r>
        <w:rPr>
          <w:rFonts w:ascii="Arial" w:cs="Arial" w:eastAsia="Arial" w:hAnsi="Arial"/>
          <w:sz w:val="20"/>
          <w:szCs w:val="20"/>
          <w:color w:val="auto"/>
        </w:rPr>
        <w:t>: The Committee is authorized at any time during or after the completion of a performance period, in its sole</w:t>
      </w:r>
      <w:r>
        <w:rPr>
          <w:rFonts w:ascii="Arial" w:cs="Arial" w:eastAsia="Arial" w:hAnsi="Arial"/>
          <w:sz w:val="20"/>
          <w:szCs w:val="20"/>
          <w:i w:val="1"/>
          <w:iCs w:val="1"/>
          <w:color w:val="auto"/>
        </w:rPr>
        <w:t xml:space="preserve"> </w:t>
      </w:r>
      <w:r>
        <w:rPr>
          <w:rFonts w:ascii="Arial" w:cs="Arial" w:eastAsia="Arial" w:hAnsi="Arial"/>
          <w:sz w:val="20"/>
          <w:szCs w:val="20"/>
          <w:color w:val="auto"/>
        </w:rPr>
        <w:t>discretion, to adjust or modify the terms of awards or performance objectives, or specify new awards, (i) in the event of any large, special and non-recurring dividend or distribution, recapitalization, reorganization, merger, consolidation, spin-off, combination, repurchase, share exchange, forward or reverse split, stock dividend, liquidation, dissolution or other similar corporate transaction, (ii) in recognition of any other unusual or nonrecurring event affecting the Company or the financial statements of the Company (including events described in (i) above as well as acquisitions and dispositions of businesses and assets and extraordinary items determined under U.S. Generally Accepted Accounting Principles (“GAAP”), or (iii) in response to changes in applicable laws and regulations, accounting principles, and tax rates (and interpretations thereof) or changes in business conditions or the Committee's assessment of the business strategy of the Company. Unless the Committee determines otherwise, no such adjustment shall be authorized or made if and to the extent that the existence of such authority or the making of such adjustment would cause awards granted under the Plan to covered employees whose compensation is intended to qualify as "performance-based compensation" under Code Section 162(m) and related regulations to fail to so qualify.</w:t>
      </w:r>
    </w:p>
    <w:p>
      <w:pPr>
        <w:spacing w:after="0" w:line="179" w:lineRule="exact"/>
        <w:rPr>
          <w:rFonts w:ascii="Arial" w:cs="Arial" w:eastAsia="Arial" w:hAnsi="Arial"/>
          <w:sz w:val="21"/>
          <w:szCs w:val="21"/>
          <w:color w:val="auto"/>
        </w:rPr>
      </w:pPr>
    </w:p>
    <w:p>
      <w:pPr>
        <w:jc w:val="both"/>
        <w:ind w:firstLine="656"/>
        <w:spacing w:after="0" w:line="288" w:lineRule="auto"/>
        <w:tabs>
          <w:tab w:leader="none" w:pos="1059" w:val="left"/>
        </w:tabs>
        <w:numPr>
          <w:ilvl w:val="0"/>
          <w:numId w:val="103"/>
        </w:numPr>
        <w:rPr>
          <w:rFonts w:ascii="Arial" w:cs="Arial" w:eastAsia="Arial" w:hAnsi="Arial"/>
          <w:sz w:val="19"/>
          <w:szCs w:val="19"/>
          <w:color w:val="auto"/>
        </w:rPr>
      </w:pPr>
      <w:r>
        <w:rPr>
          <w:rFonts w:ascii="Arial" w:cs="Arial" w:eastAsia="Arial" w:hAnsi="Arial"/>
          <w:sz w:val="19"/>
          <w:szCs w:val="19"/>
          <w:i w:val="1"/>
          <w:iCs w:val="1"/>
          <w:color w:val="auto"/>
        </w:rPr>
        <w:t xml:space="preserve">Compliance with Code Section 409A: </w:t>
      </w:r>
      <w:r>
        <w:rPr>
          <w:rFonts w:ascii="Arial" w:cs="Arial" w:eastAsia="Arial" w:hAnsi="Arial"/>
          <w:sz w:val="19"/>
          <w:szCs w:val="19"/>
          <w:color w:val="auto"/>
        </w:rPr>
        <w:t>Notwithstanding any other provision in the Plan or an award to the contrary, if and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extent that Code Section 409A is deemed to apply to the Plan or any award granted under the Plan, it is the general intention of the Company that the Plan and any such award shall, to the extent practicable, be construed in accordance therewith. Deferrals pursuant to an award otherwise exempt from Code Section 409A in a manner that would cause Code Section 409A to apply shall not be permitted unless such deferrals are permitted by the Committee and structured to be in compliance with or exempt from Code Section 409A. Without in any way limiting the effect of the foregoing, (i) in the event that Code Section 409A requires that any special terms, provision or conditions be included in the Plan or any award, then such terms, provisions and conditions shall, to the extent practicable, be deemed to be made a part of the Plan and/or award, as applicable, and (ii) terms used in the Plan or an award shall be construed in accordance with Code Section 409A if and to the extent required. Further, in the event that the Plan or any award shall be deemed not to comply with Code Section 409A, then neither the Company, the Board, the Committee nor its or their designees or agents shall be liable to any participant or other persons for actions, decisions or determinations made in good faith.</w:t>
      </w:r>
    </w:p>
    <w:p>
      <w:pPr>
        <w:spacing w:after="0" w:line="168" w:lineRule="exact"/>
        <w:rPr>
          <w:rFonts w:ascii="Arial" w:cs="Arial" w:eastAsia="Arial" w:hAnsi="Arial"/>
          <w:sz w:val="19"/>
          <w:szCs w:val="19"/>
          <w:color w:val="auto"/>
        </w:rPr>
      </w:pPr>
    </w:p>
    <w:p>
      <w:pPr>
        <w:jc w:val="both"/>
        <w:ind w:right="20" w:firstLine="656"/>
        <w:spacing w:after="0" w:line="266" w:lineRule="auto"/>
        <w:tabs>
          <w:tab w:leader="none" w:pos="1134" w:val="left"/>
        </w:tabs>
        <w:numPr>
          <w:ilvl w:val="0"/>
          <w:numId w:val="103"/>
        </w:numPr>
        <w:rPr>
          <w:rFonts w:ascii="Arial" w:cs="Arial" w:eastAsia="Arial" w:hAnsi="Arial"/>
          <w:sz w:val="22"/>
          <w:szCs w:val="22"/>
          <w:color w:val="auto"/>
        </w:rPr>
      </w:pPr>
      <w:r>
        <w:rPr>
          <w:rFonts w:ascii="Arial" w:cs="Arial" w:eastAsia="Arial" w:hAnsi="Arial"/>
          <w:sz w:val="21"/>
          <w:szCs w:val="21"/>
          <w:i w:val="1"/>
          <w:iCs w:val="1"/>
          <w:color w:val="auto"/>
        </w:rPr>
        <w:t xml:space="preserve">Restrictions on Awards: </w:t>
      </w:r>
      <w:r>
        <w:rPr>
          <w:rFonts w:ascii="Arial" w:cs="Arial" w:eastAsia="Arial" w:hAnsi="Arial"/>
          <w:sz w:val="21"/>
          <w:szCs w:val="21"/>
          <w:color w:val="auto"/>
        </w:rPr>
        <w:t>Notwithstanding any other Plan provision to the contrary, the Company shall not be obligated to</w:t>
      </w:r>
      <w:r>
        <w:rPr>
          <w:rFonts w:ascii="Arial" w:cs="Arial" w:eastAsia="Arial" w:hAnsi="Arial"/>
          <w:sz w:val="21"/>
          <w:szCs w:val="21"/>
          <w:i w:val="1"/>
          <w:iCs w:val="1"/>
          <w:color w:val="auto"/>
        </w:rPr>
        <w:t xml:space="preserve"> </w:t>
      </w:r>
      <w:r>
        <w:rPr>
          <w:rFonts w:ascii="Arial" w:cs="Arial" w:eastAsia="Arial" w:hAnsi="Arial"/>
          <w:sz w:val="21"/>
          <w:szCs w:val="21"/>
          <w:color w:val="auto"/>
        </w:rPr>
        <w:t>make any distribution of benefits under the Plan or take any other action, unless such distribution or action is in compliance with applicable laws, rules and regulations (including but not limited to applicable requirements of the Code).</w:t>
      </w:r>
    </w:p>
    <w:p>
      <w:pPr>
        <w:spacing w:after="0" w:line="183" w:lineRule="exact"/>
        <w:rPr>
          <w:rFonts w:ascii="Arial" w:cs="Arial" w:eastAsia="Arial" w:hAnsi="Arial"/>
          <w:sz w:val="22"/>
          <w:szCs w:val="22"/>
          <w:color w:val="auto"/>
        </w:rPr>
      </w:pPr>
    </w:p>
    <w:p>
      <w:pPr>
        <w:ind w:firstLine="656"/>
        <w:spacing w:after="0" w:line="279" w:lineRule="auto"/>
        <w:tabs>
          <w:tab w:leader="none" w:pos="1073" w:val="left"/>
        </w:tabs>
        <w:numPr>
          <w:ilvl w:val="0"/>
          <w:numId w:val="103"/>
        </w:numPr>
        <w:rPr>
          <w:rFonts w:ascii="Arial" w:cs="Arial" w:eastAsia="Arial" w:hAnsi="Arial"/>
          <w:sz w:val="22"/>
          <w:szCs w:val="22"/>
          <w:color w:val="auto"/>
        </w:rPr>
      </w:pPr>
      <w:r>
        <w:rPr>
          <w:rFonts w:ascii="Arial" w:cs="Arial" w:eastAsia="Arial" w:hAnsi="Arial"/>
          <w:sz w:val="21"/>
          <w:szCs w:val="21"/>
          <w:i w:val="1"/>
          <w:iCs w:val="1"/>
          <w:color w:val="auto"/>
        </w:rPr>
        <w:t xml:space="preserve">Gender and Number: </w:t>
      </w:r>
      <w:r>
        <w:rPr>
          <w:rFonts w:ascii="Arial" w:cs="Arial" w:eastAsia="Arial" w:hAnsi="Arial"/>
          <w:sz w:val="21"/>
          <w:szCs w:val="21"/>
          <w:color w:val="auto"/>
        </w:rPr>
        <w:t>Where the context admits, words in any gender shall include any other gender, words in the singular</w:t>
      </w:r>
      <w:r>
        <w:rPr>
          <w:rFonts w:ascii="Arial" w:cs="Arial" w:eastAsia="Arial" w:hAnsi="Arial"/>
          <w:sz w:val="21"/>
          <w:szCs w:val="21"/>
          <w:i w:val="1"/>
          <w:iCs w:val="1"/>
          <w:color w:val="auto"/>
        </w:rPr>
        <w:t xml:space="preserve"> </w:t>
      </w:r>
      <w:r>
        <w:rPr>
          <w:rFonts w:ascii="Arial" w:cs="Arial" w:eastAsia="Arial" w:hAnsi="Arial"/>
          <w:sz w:val="21"/>
          <w:szCs w:val="21"/>
          <w:color w:val="auto"/>
        </w:rPr>
        <w:t>shall include the plural and words in the plural shall include the singular.</w:t>
      </w:r>
    </w:p>
    <w:p>
      <w:pPr>
        <w:spacing w:after="0" w:line="392"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626" w:right="239" w:bottom="1440" w:gutter="0" w:footer="0" w:header="0"/>
        </w:sectPr>
      </w:pPr>
    </w:p>
    <w:bookmarkStart w:id="146" w:name="page147"/>
    <w:bookmarkEnd w:id="146"/>
    <w:p>
      <w:pPr>
        <w:jc w:val="both"/>
        <w:ind w:left="-20" w:firstLine="656"/>
        <w:spacing w:after="0" w:line="266" w:lineRule="auto"/>
        <w:tabs>
          <w:tab w:leader="none" w:pos="1120" w:val="left"/>
        </w:tabs>
        <w:numPr>
          <w:ilvl w:val="0"/>
          <w:numId w:val="104"/>
        </w:numPr>
        <w:rPr>
          <w:rFonts w:ascii="Arial" w:cs="Arial" w:eastAsia="Arial" w:hAnsi="Arial"/>
          <w:sz w:val="22"/>
          <w:szCs w:val="22"/>
          <w:color w:val="auto"/>
        </w:rPr>
      </w:pPr>
      <w:r>
        <w:rPr>
          <w:rFonts w:ascii="Arial" w:cs="Arial" w:eastAsia="Arial" w:hAnsi="Arial"/>
          <w:sz w:val="21"/>
          <w:szCs w:val="21"/>
          <w:i w:val="1"/>
          <w:iCs w:val="1"/>
          <w:color w:val="auto"/>
        </w:rPr>
        <w:t xml:space="preserve">Severability: </w:t>
      </w:r>
      <w:r>
        <w:rPr>
          <w:rFonts w:ascii="Arial" w:cs="Arial" w:eastAsia="Arial" w:hAnsi="Arial"/>
          <w:sz w:val="21"/>
          <w:szCs w:val="21"/>
          <w:color w:val="auto"/>
        </w:rPr>
        <w:t>If any provision of the Plan shall be held illegal or invalid for any reason, such illegality or invalidity shall not</w:t>
      </w:r>
      <w:r>
        <w:rPr>
          <w:rFonts w:ascii="Arial" w:cs="Arial" w:eastAsia="Arial" w:hAnsi="Arial"/>
          <w:sz w:val="21"/>
          <w:szCs w:val="21"/>
          <w:i w:val="1"/>
          <w:iCs w:val="1"/>
          <w:color w:val="auto"/>
        </w:rPr>
        <w:t xml:space="preserve"> </w:t>
      </w:r>
      <w:r>
        <w:rPr>
          <w:rFonts w:ascii="Arial" w:cs="Arial" w:eastAsia="Arial" w:hAnsi="Arial"/>
          <w:sz w:val="21"/>
          <w:szCs w:val="21"/>
          <w:color w:val="auto"/>
        </w:rPr>
        <w:t>affect the remaining parts of the Plan, and the Plan shall be construed and enforced as if the illegal or invalid provision had not been included.</w:t>
      </w:r>
    </w:p>
    <w:p>
      <w:pPr>
        <w:spacing w:after="0" w:line="183" w:lineRule="exact"/>
        <w:rPr>
          <w:rFonts w:ascii="Arial" w:cs="Arial" w:eastAsia="Arial" w:hAnsi="Arial"/>
          <w:sz w:val="22"/>
          <w:szCs w:val="22"/>
          <w:color w:val="auto"/>
        </w:rPr>
      </w:pPr>
    </w:p>
    <w:p>
      <w:pPr>
        <w:ind w:left="-20" w:firstLine="656"/>
        <w:spacing w:after="0" w:line="279" w:lineRule="auto"/>
        <w:tabs>
          <w:tab w:leader="none" w:pos="1195" w:val="left"/>
        </w:tabs>
        <w:numPr>
          <w:ilvl w:val="0"/>
          <w:numId w:val="104"/>
        </w:numPr>
        <w:rPr>
          <w:rFonts w:ascii="Arial" w:cs="Arial" w:eastAsia="Arial" w:hAnsi="Arial"/>
          <w:sz w:val="22"/>
          <w:szCs w:val="22"/>
          <w:color w:val="auto"/>
        </w:rPr>
      </w:pPr>
      <w:r>
        <w:rPr>
          <w:rFonts w:ascii="Arial" w:cs="Arial" w:eastAsia="Arial" w:hAnsi="Arial"/>
          <w:sz w:val="21"/>
          <w:szCs w:val="21"/>
          <w:i w:val="1"/>
          <w:iCs w:val="1"/>
          <w:color w:val="auto"/>
        </w:rPr>
        <w:t xml:space="preserve">Binding Effect: </w:t>
      </w:r>
      <w:r>
        <w:rPr>
          <w:rFonts w:ascii="Arial" w:cs="Arial" w:eastAsia="Arial" w:hAnsi="Arial"/>
          <w:sz w:val="21"/>
          <w:szCs w:val="21"/>
          <w:color w:val="auto"/>
        </w:rPr>
        <w:t>The Plan shall be binding upon the Company, its successors and assigns, and participants, their legal</w:t>
      </w:r>
      <w:r>
        <w:rPr>
          <w:rFonts w:ascii="Arial" w:cs="Arial" w:eastAsia="Arial" w:hAnsi="Arial"/>
          <w:sz w:val="21"/>
          <w:szCs w:val="21"/>
          <w:i w:val="1"/>
          <w:iCs w:val="1"/>
          <w:color w:val="auto"/>
        </w:rPr>
        <w:t xml:space="preserve"> </w:t>
      </w:r>
      <w:r>
        <w:rPr>
          <w:rFonts w:ascii="Arial" w:cs="Arial" w:eastAsia="Arial" w:hAnsi="Arial"/>
          <w:sz w:val="21"/>
          <w:szCs w:val="21"/>
          <w:color w:val="auto"/>
        </w:rPr>
        <w:t>representatives, executors, administrators and beneficiaries.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i w:val="1"/>
          <w:iCs w:val="1"/>
          <w:u w:val="single" w:color="auto"/>
          <w:color w:val="auto"/>
        </w:rPr>
        <w:t>[</w:t>
      </w:r>
      <w:r>
        <w:rPr>
          <w:rFonts w:ascii="Arial" w:cs="Arial" w:eastAsia="Arial" w:hAnsi="Arial"/>
          <w:sz w:val="21"/>
          <w:szCs w:val="21"/>
          <w:i w:val="1"/>
          <w:iCs w:val="1"/>
          <w:color w:val="auto"/>
        </w:rPr>
        <w:t>Signature Page to Follow]</w:t>
      </w:r>
    </w:p>
    <w:p>
      <w:pPr>
        <w:spacing w:after="0" w:line="200" w:lineRule="exact"/>
        <w:rPr>
          <w:sz w:val="20"/>
          <w:szCs w:val="20"/>
          <w:color w:val="auto"/>
        </w:rPr>
      </w:pPr>
    </w:p>
    <w:p>
      <w:pPr>
        <w:spacing w:after="0" w:line="282"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60" w:top="639" w:right="239" w:bottom="1440" w:gutter="0" w:footer="0" w:header="0"/>
        </w:sectPr>
      </w:pPr>
    </w:p>
    <w:bookmarkStart w:id="147" w:name="page148"/>
    <w:bookmarkEnd w:id="147"/>
    <w:p>
      <w:pPr>
        <w:ind w:firstLine="648"/>
        <w:spacing w:after="0" w:line="264" w:lineRule="auto"/>
        <w:rPr>
          <w:sz w:val="20"/>
          <w:szCs w:val="20"/>
          <w:color w:val="auto"/>
        </w:rPr>
      </w:pPr>
      <w:r>
        <w:rPr>
          <w:rFonts w:ascii="Arial" w:cs="Arial" w:eastAsia="Arial" w:hAnsi="Arial"/>
          <w:sz w:val="21"/>
          <w:szCs w:val="21"/>
          <w:color w:val="auto"/>
        </w:rPr>
        <w:t>This Qorvo, Inc. Cash Bonus Plan, as assumed and amended and restated by Qorvo, Inc., has been executed on behalf of the Company effective as of January 1, 2015.</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1"/>
          <w:szCs w:val="21"/>
          <w:b w:val="1"/>
          <w:bCs w:val="1"/>
          <w:color w:val="auto"/>
        </w:rPr>
        <w:t>QORVO, INC.</w:t>
      </w:r>
    </w:p>
    <w:p>
      <w:pPr>
        <w:spacing w:after="0" w:line="200" w:lineRule="exact"/>
        <w:rPr>
          <w:sz w:val="20"/>
          <w:szCs w:val="20"/>
          <w:color w:val="auto"/>
        </w:rPr>
      </w:pPr>
    </w:p>
    <w:p>
      <w:pPr>
        <w:spacing w:after="0" w:line="29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By: /s/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-15875</wp:posOffset>
            </wp:positionV>
            <wp:extent cx="16649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497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1"/>
          <w:szCs w:val="21"/>
          <w:color w:val="auto"/>
        </w:rPr>
        <w:t>Name: Robert A. Bruggeworth</w:t>
      </w:r>
    </w:p>
    <w:p>
      <w:pPr>
        <w:spacing w:after="0" w:line="2"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Title: Chief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/s/ Suzanne B. Rudy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4681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8120"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Suzanne B. Rudy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Corporate Treasurer &amp;</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Compliance Officer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Qorvo, Inc. Cash Bonus Plan]</w:t>
      </w:r>
    </w:p>
    <w:p>
      <w:pPr>
        <w:sectPr>
          <w:pgSz w:w="11900" w:h="16838" w:orient="portrait"/>
          <w:cols w:equalWidth="0" w:num="1">
            <w:col w:w="11420"/>
          </w:cols>
          <w:pgMar w:left="240" w:top="626"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4"/>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EXHIBIT 21</w:t>
            </w:r>
          </w:p>
        </w:tc>
        <w:tc>
          <w:tcPr>
            <w:tcW w:w="338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380" w:type="dxa"/>
            <w:vAlign w:val="bottom"/>
          </w:tcPr>
          <w:p>
            <w:pPr>
              <w:spacing w:after="0"/>
              <w:rPr>
                <w:sz w:val="20"/>
                <w:szCs w:val="20"/>
                <w:color w:val="auto"/>
              </w:rPr>
            </w:pPr>
            <w:r>
              <w:rPr>
                <w:rFonts w:ascii="Arial" w:cs="Arial" w:eastAsia="Arial" w:hAnsi="Arial"/>
                <w:sz w:val="18"/>
                <w:szCs w:val="18"/>
                <w:b w:val="1"/>
                <w:bCs w:val="1"/>
                <w:color w:val="auto"/>
                <w:w w:val="90"/>
              </w:rPr>
              <w:t>State or Other Jurisdiction of Incorporation</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Inc.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LLC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Infrastructure Product Group, Inc.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WPAN,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International, Inc.</w:t>
            </w:r>
          </w:p>
        </w:tc>
        <w:tc>
          <w:tcPr>
            <w:tcW w:w="33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UK Ltd .</w:t>
            </w:r>
          </w:p>
        </w:tc>
        <w:tc>
          <w:tcPr>
            <w:tcW w:w="3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(UK) Limited</w:t>
            </w:r>
          </w:p>
        </w:tc>
        <w:tc>
          <w:tcPr>
            <w:tcW w:w="33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(Holland) B.V.</w:t>
            </w:r>
          </w:p>
        </w:tc>
        <w:tc>
          <w:tcPr>
            <w:tcW w:w="33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(Taiwan) B.V.</w:t>
            </w:r>
          </w:p>
        </w:tc>
        <w:tc>
          <w:tcPr>
            <w:tcW w:w="338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Svenska AB</w:t>
            </w:r>
          </w:p>
        </w:tc>
        <w:tc>
          <w:tcPr>
            <w:tcW w:w="3380" w:type="dxa"/>
            <w:vAlign w:val="bottom"/>
          </w:tcPr>
          <w:p>
            <w:pPr>
              <w:spacing w:after="0"/>
              <w:rPr>
                <w:sz w:val="20"/>
                <w:szCs w:val="20"/>
                <w:color w:val="auto"/>
              </w:rPr>
            </w:pPr>
            <w:r>
              <w:rPr>
                <w:rFonts w:ascii="Arial" w:cs="Arial" w:eastAsia="Arial" w:hAnsi="Arial"/>
                <w:sz w:val="18"/>
                <w:szCs w:val="18"/>
                <w:color w:val="auto"/>
              </w:rPr>
              <w:t>Sweden</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(Denmark) ApS</w:t>
            </w:r>
          </w:p>
        </w:tc>
        <w:tc>
          <w:tcPr>
            <w:tcW w:w="3380" w:type="dxa"/>
            <w:vAlign w:val="bottom"/>
          </w:tcPr>
          <w:p>
            <w:pPr>
              <w:spacing w:after="0"/>
              <w:rPr>
                <w:sz w:val="20"/>
                <w:szCs w:val="20"/>
                <w:color w:val="auto"/>
              </w:rPr>
            </w:pPr>
            <w:r>
              <w:rPr>
                <w:rFonts w:ascii="Arial" w:cs="Arial" w:eastAsia="Arial" w:hAnsi="Arial"/>
                <w:sz w:val="18"/>
                <w:szCs w:val="18"/>
                <w:color w:val="auto"/>
              </w:rPr>
              <w:t>Denmark</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(Finland) Oy</w:t>
            </w:r>
          </w:p>
        </w:tc>
        <w:tc>
          <w:tcPr>
            <w:tcW w:w="3380" w:type="dxa"/>
            <w:vAlign w:val="bottom"/>
          </w:tcPr>
          <w:p>
            <w:pPr>
              <w:spacing w:after="0"/>
              <w:rPr>
                <w:sz w:val="20"/>
                <w:szCs w:val="20"/>
                <w:color w:val="auto"/>
              </w:rPr>
            </w:pPr>
            <w:r>
              <w:rPr>
                <w:rFonts w:ascii="Arial" w:cs="Arial" w:eastAsia="Arial" w:hAnsi="Arial"/>
                <w:sz w:val="18"/>
                <w:szCs w:val="18"/>
                <w:color w:val="auto"/>
              </w:rPr>
              <w:t>Finland</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(Korea) YH</w:t>
            </w:r>
          </w:p>
        </w:tc>
        <w:tc>
          <w:tcPr>
            <w:tcW w:w="3380" w:type="dxa"/>
            <w:vAlign w:val="bottom"/>
          </w:tcPr>
          <w:p>
            <w:pPr>
              <w:spacing w:after="0"/>
              <w:rPr>
                <w:sz w:val="20"/>
                <w:szCs w:val="20"/>
                <w:color w:val="auto"/>
              </w:rPr>
            </w:pPr>
            <w:r>
              <w:rPr>
                <w:rFonts w:ascii="Arial" w:cs="Arial" w:eastAsia="Arial" w:hAnsi="Arial"/>
                <w:sz w:val="18"/>
                <w:szCs w:val="18"/>
                <w:color w:val="auto"/>
              </w:rPr>
              <w:t>Korea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(Canada) ULC</w:t>
            </w:r>
          </w:p>
        </w:tc>
        <w:tc>
          <w:tcPr>
            <w:tcW w:w="3380" w:type="dxa"/>
            <w:vAlign w:val="bottom"/>
          </w:tcPr>
          <w:p>
            <w:pPr>
              <w:spacing w:after="0"/>
              <w:rPr>
                <w:sz w:val="20"/>
                <w:szCs w:val="20"/>
                <w:color w:val="auto"/>
              </w:rPr>
            </w:pPr>
            <w:r>
              <w:rPr>
                <w:rFonts w:ascii="Arial" w:cs="Arial" w:eastAsia="Arial" w:hAnsi="Arial"/>
                <w:sz w:val="18"/>
                <w:szCs w:val="18"/>
                <w:color w:val="auto"/>
              </w:rPr>
              <w:t>Canada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(Beijing) Co. Ltd.</w:t>
            </w:r>
          </w:p>
        </w:tc>
        <w:tc>
          <w:tcPr>
            <w:tcW w:w="338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(Shanghai) Technology Company, Ltd.</w:t>
            </w:r>
          </w:p>
        </w:tc>
        <w:tc>
          <w:tcPr>
            <w:tcW w:w="338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(Hong Kong) Pvt. Limited</w:t>
            </w:r>
          </w:p>
        </w:tc>
        <w:tc>
          <w:tcPr>
            <w:tcW w:w="3380" w:type="dxa"/>
            <w:vAlign w:val="bottom"/>
          </w:tcPr>
          <w:p>
            <w:pPr>
              <w:spacing w:after="0"/>
              <w:rPr>
                <w:sz w:val="20"/>
                <w:szCs w:val="20"/>
                <w:color w:val="auto"/>
              </w:rPr>
            </w:pPr>
            <w:r>
              <w:rPr>
                <w:rFonts w:ascii="Arial" w:cs="Arial" w:eastAsia="Arial" w:hAnsi="Arial"/>
                <w:sz w:val="18"/>
                <w:szCs w:val="18"/>
                <w:color w:val="auto"/>
              </w:rPr>
              <w:t>Hong Kong</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Xemod Incorporated</w:t>
            </w:r>
          </w:p>
        </w:tc>
        <w:tc>
          <w:tcPr>
            <w:tcW w:w="33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Micro Linear International Corporation</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Premier Devices – A Sirenza Company</w:t>
            </w:r>
          </w:p>
        </w:tc>
        <w:tc>
          <w:tcPr>
            <w:tcW w:w="33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Premier Devices German Holding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RFMD Germany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Radio Frequency Micro Devices (India) Private Limited</w:t>
            </w:r>
          </w:p>
        </w:tc>
        <w:tc>
          <w:tcPr>
            <w:tcW w:w="33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Amalfi Semiconductor,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Amalfi Semiconductor, Ltd.</w:t>
            </w:r>
          </w:p>
        </w:tc>
        <w:tc>
          <w:tcPr>
            <w:tcW w:w="33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Amalfi Semiconductor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(Cayman Islands), Ltd.</w:t>
            </w:r>
          </w:p>
        </w:tc>
        <w:tc>
          <w:tcPr>
            <w:tcW w:w="33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(Singapore)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RF Micro Devices (Dezhou) Co. Ltd.</w:t>
            </w:r>
          </w:p>
        </w:tc>
        <w:tc>
          <w:tcPr>
            <w:tcW w:w="338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Inc.</w:t>
            </w:r>
          </w:p>
        </w:tc>
        <w:tc>
          <w:tcPr>
            <w:tcW w:w="3380" w:type="dxa"/>
            <w:vAlign w:val="bottom"/>
          </w:tcPr>
          <w:p>
            <w:pPr>
              <w:spacing w:after="0"/>
              <w:rPr>
                <w:sz w:val="20"/>
                <w:szCs w:val="20"/>
                <w:color w:val="auto"/>
              </w:rPr>
            </w:pPr>
            <w:r>
              <w:rPr>
                <w:rFonts w:ascii="Arial" w:cs="Arial" w:eastAsia="Arial" w:hAnsi="Arial"/>
                <w:sz w:val="18"/>
                <w:szCs w:val="18"/>
                <w:color w:val="auto"/>
              </w:rPr>
              <w:t>Florida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TFR, Inc.</w:t>
            </w:r>
          </w:p>
        </w:tc>
        <w:tc>
          <w:tcPr>
            <w:tcW w:w="3380" w:type="dxa"/>
            <w:vAlign w:val="bottom"/>
          </w:tcPr>
          <w:p>
            <w:pPr>
              <w:spacing w:after="0"/>
              <w:rPr>
                <w:sz w:val="20"/>
                <w:szCs w:val="20"/>
                <w:color w:val="auto"/>
              </w:rPr>
            </w:pPr>
            <w:r>
              <w:rPr>
                <w:rFonts w:ascii="Arial" w:cs="Arial" w:eastAsia="Arial" w:hAnsi="Arial"/>
                <w:sz w:val="18"/>
                <w:szCs w:val="18"/>
                <w:color w:val="auto"/>
              </w:rPr>
              <w:t>Oregon</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GmbH</w:t>
            </w:r>
          </w:p>
        </w:tc>
        <w:tc>
          <w:tcPr>
            <w:tcW w:w="33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S.R.L</w:t>
            </w:r>
          </w:p>
        </w:tc>
        <w:tc>
          <w:tcPr>
            <w:tcW w:w="3380" w:type="dxa"/>
            <w:vAlign w:val="bottom"/>
          </w:tcPr>
          <w:p>
            <w:pPr>
              <w:spacing w:after="0"/>
              <w:rPr>
                <w:sz w:val="20"/>
                <w:szCs w:val="20"/>
                <w:color w:val="auto"/>
              </w:rPr>
            </w:pPr>
            <w:r>
              <w:rPr>
                <w:rFonts w:ascii="Arial" w:cs="Arial" w:eastAsia="Arial" w:hAnsi="Arial"/>
                <w:sz w:val="18"/>
                <w:szCs w:val="18"/>
                <w:color w:val="auto"/>
              </w:rPr>
              <w:t>Costa Rica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Asia LLC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International Pte. Ltd.</w:t>
            </w:r>
          </w:p>
        </w:tc>
        <w:tc>
          <w:tcPr>
            <w:tcW w:w="33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Malaysia SDN BHD</w:t>
            </w:r>
          </w:p>
        </w:tc>
        <w:tc>
          <w:tcPr>
            <w:tcW w:w="3380" w:type="dxa"/>
            <w:vAlign w:val="bottom"/>
          </w:tcPr>
          <w:p>
            <w:pPr>
              <w:spacing w:after="0"/>
              <w:rPr>
                <w:sz w:val="20"/>
                <w:szCs w:val="20"/>
                <w:color w:val="auto"/>
              </w:rPr>
            </w:pPr>
            <w:r>
              <w:rPr>
                <w:rFonts w:ascii="Arial" w:cs="Arial" w:eastAsia="Arial" w:hAnsi="Arial"/>
                <w:sz w:val="18"/>
                <w:szCs w:val="18"/>
                <w:color w:val="auto"/>
              </w:rPr>
              <w:t>Malaysia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Japan YK</w:t>
            </w:r>
          </w:p>
        </w:tc>
        <w:tc>
          <w:tcPr>
            <w:tcW w:w="33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(Shanghai) Ltd</w:t>
            </w:r>
          </w:p>
        </w:tc>
        <w:tc>
          <w:tcPr>
            <w:tcW w:w="33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Semiconductor Texas, LLC</w:t>
            </w:r>
          </w:p>
        </w:tc>
        <w:tc>
          <w:tcPr>
            <w:tcW w:w="3380" w:type="dxa"/>
            <w:vAlign w:val="bottom"/>
          </w:tcPr>
          <w:p>
            <w:pPr>
              <w:spacing w:after="0"/>
              <w:rPr>
                <w:sz w:val="20"/>
                <w:szCs w:val="20"/>
                <w:color w:val="auto"/>
              </w:rPr>
            </w:pPr>
            <w:r>
              <w:rPr>
                <w:rFonts w:ascii="Arial" w:cs="Arial" w:eastAsia="Arial" w:hAnsi="Arial"/>
                <w:sz w:val="18"/>
                <w:szCs w:val="18"/>
                <w:color w:val="auto"/>
              </w:rPr>
              <w:t>Texas</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Sales and Design,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Europe Holding Company</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0" w:type="dxa"/>
            <w:vAlign w:val="bottom"/>
          </w:tcPr>
          <w:p>
            <w:pPr>
              <w:spacing w:after="0"/>
              <w:rPr>
                <w:sz w:val="23"/>
                <w:szCs w:val="23"/>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TriQuint WJ, Inc.</w:t>
            </w:r>
          </w:p>
        </w:tc>
        <w:tc>
          <w:tcPr>
            <w:tcW w:w="33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661" w:right="1440" w:bottom="1440" w:gutter="0" w:footer="0" w:header="0"/>
        </w:sectPr>
      </w:pPr>
    </w:p>
    <w:bookmarkStart w:id="149" w:name="page150"/>
    <w:bookmarkEnd w:id="149"/>
    <w:p>
      <w:pPr>
        <w:ind w:left="40"/>
        <w:spacing w:after="0"/>
        <w:rPr>
          <w:sz w:val="20"/>
          <w:szCs w:val="20"/>
          <w:color w:val="auto"/>
        </w:rPr>
      </w:pPr>
      <w:r>
        <w:rPr>
          <w:rFonts w:ascii="Arial" w:cs="Arial" w:eastAsia="Arial" w:hAnsi="Arial"/>
          <w:sz w:val="17"/>
          <w:szCs w:val="17"/>
          <w:color w:val="auto"/>
        </w:rPr>
        <w:t>WJ Newco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5600" w:space="720"/>
            <w:col w:w="3899"/>
          </w:cols>
          <w:pgMar w:left="240" w:top="827" w:right="1440" w:bottom="1440" w:gutter="0" w:footer="0" w:header="0"/>
        </w:sectPr>
      </w:pPr>
    </w:p>
    <w:p>
      <w:pPr>
        <w:ind w:left="40"/>
        <w:spacing w:after="0"/>
        <w:rPr>
          <w:sz w:val="20"/>
          <w:szCs w:val="20"/>
          <w:color w:val="auto"/>
        </w:rPr>
      </w:pPr>
      <w:r>
        <w:rPr>
          <w:rFonts w:ascii="Arial" w:cs="Arial" w:eastAsia="Arial" w:hAnsi="Arial"/>
          <w:sz w:val="16"/>
          <w:szCs w:val="16"/>
          <w:color w:val="auto"/>
        </w:rPr>
        <w:t>TriQuint CW,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California</w:t>
      </w:r>
    </w:p>
    <w:p>
      <w:pPr>
        <w:spacing w:after="0" w:line="200" w:lineRule="exact"/>
        <w:rPr>
          <w:sz w:val="20"/>
          <w:szCs w:val="20"/>
          <w:color w:val="auto"/>
        </w:rPr>
      </w:pPr>
    </w:p>
    <w:p>
      <w:pPr>
        <w:sectPr>
          <w:pgSz w:w="11900" w:h="16838" w:orient="portrait"/>
          <w:cols w:equalWidth="0" w:num="2">
            <w:col w:w="5600" w:space="720"/>
            <w:col w:w="3899"/>
          </w:cols>
          <w:pgMar w:left="240" w:top="8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All of the above listed entities are 100% directly or indirectly owned by Qorvo, Inc.</w:t>
      </w:r>
    </w:p>
    <w:p>
      <w:pPr>
        <w:sectPr>
          <w:pgSz w:w="11900" w:h="16838" w:orient="portrait"/>
          <w:cols w:equalWidth="0" w:num="1">
            <w:col w:w="10219"/>
          </w:cols>
          <w:pgMar w:left="240" w:top="827" w:right="1440" w:bottom="1440" w:gutter="0" w:footer="0" w:header="0"/>
          <w:type w:val="continuous"/>
        </w:sectPr>
      </w:pPr>
    </w:p>
    <w:bookmarkStart w:id="150" w:name="page151"/>
    <w:bookmarkEnd w:id="150"/>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Qorvo, Inc.:</w:t>
      </w:r>
    </w:p>
    <w:p>
      <w:pPr>
        <w:spacing w:after="0" w:line="308" w:lineRule="exact"/>
        <w:rPr>
          <w:sz w:val="20"/>
          <w:szCs w:val="20"/>
          <w:color w:val="auto"/>
        </w:rPr>
      </w:pPr>
    </w:p>
    <w:p>
      <w:pPr>
        <w:jc w:val="both"/>
        <w:spacing w:after="0" w:line="233" w:lineRule="exact"/>
        <w:rPr>
          <w:sz w:val="20"/>
          <w:szCs w:val="20"/>
          <w:color w:val="auto"/>
        </w:rPr>
      </w:pPr>
      <w:r>
        <w:rPr>
          <w:rFonts w:ascii="Arial" w:cs="Arial" w:eastAsia="Arial" w:hAnsi="Arial"/>
          <w:sz w:val="20"/>
          <w:szCs w:val="20"/>
          <w:color w:val="auto"/>
        </w:rPr>
        <w:t>We consent to the incorporation by reference in the registration statements (No. 333</w:t>
      </w:r>
      <w:r>
        <w:rPr>
          <w:rFonts w:ascii="MS PGothic" w:cs="MS PGothic" w:eastAsia="MS PGothic" w:hAnsi="MS PGothic"/>
          <w:sz w:val="20"/>
          <w:szCs w:val="20"/>
          <w:color w:val="auto"/>
        </w:rPr>
        <w:t>‑</w:t>
      </w:r>
      <w:r>
        <w:rPr>
          <w:rFonts w:ascii="Arial" w:cs="Arial" w:eastAsia="Arial" w:hAnsi="Arial"/>
          <w:sz w:val="20"/>
          <w:szCs w:val="20"/>
          <w:color w:val="auto"/>
        </w:rPr>
        <w:t>195236) on Form S-4 and (No. 333-201357 and No. 333-201358) on Form S-8 of Qorvo, Inc. of our reports dated May 27, 2015, with respect to the consolidated balance sheet of Qorvo, Inc. as of March 28, 2015, and the related consolidated statements of operations, comprehensive income (loss), stockholders’ equity, and cash flows for the year ended March 28, 2015, and the effectiveness of internal control over financial reporting as of March 28, 2015, which reports appear in the March 28, 2015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of Qorvo, Inc.</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Portland, Oregon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27, 2015</w:t>
      </w:r>
    </w:p>
    <w:p>
      <w:pPr>
        <w:sectPr>
          <w:pgSz w:w="11900" w:h="16838" w:orient="portrait"/>
          <w:cols w:equalWidth="0" w:num="1">
            <w:col w:w="11420"/>
          </w:cols>
          <w:pgMar w:left="240" w:top="80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ind w:left="226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Registration Statement (Form S-4 No. 333-195236) of Qorvo, Inc. (formerly known as Rocky Holding, Inc.),</w:t>
      </w:r>
    </w:p>
    <w:p>
      <w:pPr>
        <w:spacing w:after="0" w:line="22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Registration Statement (Form S-8 No. 333-201357) pertaining to the Qorvo, Inc. 2007 Employee Stock Purchase Plan, the Qorvo, Inc. 2013 Incentive Plan, the Qorvo, Inc. 2012 Incentive Plan, the Qorvo, Inc. 2009 Incentive Plan, the Qorvo, Inc. 2008 Inducement Program, and the Qorvo, Inc. 1996 Stock Incentive Program, and</w:t>
      </w:r>
    </w:p>
    <w:p>
      <w:pPr>
        <w:spacing w:after="0" w:line="199"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Registration Statement (Form S-8 No. 333-201358) pertaining to the Qorvo, Inc. 2012 Stock Incentive Plan, the 2003 Stock Incentive Plan of Qorvo, Inc., the Qorvo, Inc. 2006 Directors Stock Option Plan, the Nonemployee Directors’ Stock Option Plan of Qorvo, Inc., and the Qorvo, Inc. 2015 Inducement Stock Plan;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of our report dated May 21, 2014 (except for the effect of the reverse stock split described in Note 13 and the segment presentation in Note 16, as to which the date is May 27, 2015), with respect to the consolidated financial statements of RF Micro Devices, Inc. and Subsidiaries as of March 29, 2014 and for the two years then ended included in this Annual Report (Form 10-K) of Qorvo, Inc. and Subsidiaries for the year ended March 28, 2015.</w:t>
      </w:r>
    </w:p>
    <w:p>
      <w:pPr>
        <w:spacing w:after="0" w:line="200" w:lineRule="exact"/>
        <w:rPr>
          <w:sz w:val="20"/>
          <w:szCs w:val="20"/>
          <w:color w:val="auto"/>
        </w:rPr>
      </w:pP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 Ernst &amp; Young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Charlotte, North Carolina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May 27, 2015</w:t>
      </w:r>
    </w:p>
    <w:p>
      <w:pPr>
        <w:sectPr>
          <w:pgSz w:w="11900" w:h="16838" w:orient="portrait"/>
          <w:cols w:equalWidth="0" w:num="1">
            <w:col w:w="11420"/>
          </w:cols>
          <w:pgMar w:left="240" w:top="360"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27, 2015</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certify that:</w:t>
      </w:r>
    </w:p>
    <w:p>
      <w:pPr>
        <w:spacing w:after="0" w:line="225"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27, 2015</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STEVEN J. BUHALY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Steven J. Buhaly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 and Secretary</w:t>
      </w:r>
    </w:p>
    <w:p>
      <w:pPr>
        <w:sectPr>
          <w:pgSz w:w="11900" w:h="16838" w:orient="portrait"/>
          <w:cols w:equalWidth="0" w:num="1">
            <w:col w:w="11400"/>
          </w:cols>
          <w:pgMar w:left="240" w:top="581" w:right="259" w:bottom="1440" w:gutter="0" w:footer="0" w:header="0"/>
        </w:sectPr>
      </w:pPr>
    </w:p>
    <w:bookmarkStart w:id="154" w:name="page155"/>
    <w:bookmarkEnd w:id="154"/>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400" w:hanging="652"/>
        <w:spacing w:after="0" w:line="260"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28, 2015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27, 2015</w:t>
      </w:r>
    </w:p>
    <w:p>
      <w:pPr>
        <w:sectPr>
          <w:pgSz w:w="11900" w:h="16838" w:orient="portrait"/>
          <w:cols w:equalWidth="0" w:num="1">
            <w:col w:w="11360"/>
          </w:cols>
          <w:pgMar w:left="240" w:top="576" w:right="29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Steven J. Buhaly, Chief Financial Officer and Secretary of Qorvo, Inc. (the “Company”), certify pursuant to Section 906 of the Sarbanes-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Oxley Act of 2002, 18 U.S.C. Section 1350, that, to my knowledge:</w:t>
      </w:r>
    </w:p>
    <w:p>
      <w:pPr>
        <w:spacing w:after="0" w:line="213" w:lineRule="exact"/>
        <w:rPr>
          <w:sz w:val="20"/>
          <w:szCs w:val="20"/>
          <w:color w:val="auto"/>
        </w:rPr>
      </w:pPr>
    </w:p>
    <w:p>
      <w:pPr>
        <w:ind w:left="660" w:right="400" w:hanging="652"/>
        <w:spacing w:after="0" w:line="260" w:lineRule="auto"/>
        <w:tabs>
          <w:tab w:leader="none" w:pos="6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28, 2015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Steven J. Buhaly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 and Secretary</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27, 2015</w:t>
      </w:r>
    </w:p>
    <w:sectPr>
      <w:pgSz w:w="11900" w:h="16838" w:orient="portrait"/>
      <w:cols w:equalWidth="0" w:num="1">
        <w:col w:w="11360"/>
      </w:cols>
      <w:pgMar w:left="240" w:top="57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upperLetter"/>
      <w:start w:val="2"/>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1)"/>
      <w:numFmt w:val="lowerRoman"/>
      <w:start w:val="2"/>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1)"/>
      <w:numFmt w:val="decimal"/>
      <w:start w:val="1"/>
    </w:lvl>
  </w:abstractNum>
  <w:abstractNum w:abstractNumId="24">
    <w:nsid w:val="1F48EAA1"/>
    <w:multiLevelType w:val="hybridMultilevel"/>
    <w:lvl w:ilvl="0">
      <w:lvlJc w:val="left"/>
      <w:lvlText w:val="(%1)"/>
      <w:numFmt w:val="decimal"/>
      <w:start w:val="2"/>
    </w:lvl>
  </w:abstractNum>
  <w:abstractNum w:abstractNumId="25">
    <w:nsid w:val="1381823A"/>
    <w:multiLevelType w:val="hybridMultilevel"/>
    <w:lvl w:ilvl="0">
      <w:lvlJc w:val="left"/>
      <w:lvlText w:val="%1."/>
      <w:numFmt w:val="decimal"/>
      <w:start w:val="6"/>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9"/>
    </w:lvl>
  </w:abstractNum>
  <w:abstractNum w:abstractNumId="28">
    <w:nsid w:val="6590700B"/>
    <w:multiLevelType w:val="hybridMultilevel"/>
    <w:lvl w:ilvl="0">
      <w:lvlJc w:val="left"/>
      <w:lvlText w:val="(%1)"/>
      <w:numFmt w:val="lowerLetter"/>
      <w:start w:val="1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1)"/>
      <w:numFmt w:val="lowerLetter"/>
      <w:start w:val="1"/>
    </w:lvl>
  </w:abstractNum>
  <w:abstractNum w:abstractNumId="32">
    <w:nsid w:val="799D0247"/>
    <w:multiLevelType w:val="hybridMultilevel"/>
    <w:lvl w:ilvl="0">
      <w:lvlJc w:val="left"/>
      <w:lvlText w:val="(%1)"/>
      <w:numFmt w:val="lowerLetter"/>
      <w:start w:val="2"/>
    </w:lvl>
  </w:abstractNum>
  <w:abstractNum w:abstractNumId="33">
    <w:nsid w:val="6B947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42C296BD"/>
    <w:multiLevelType w:val="hybridMultilevel"/>
    <w:lvl w:ilvl="0">
      <w:lvlJc w:val="left"/>
      <w:lvlText w:val="%1"/>
      <w:numFmt w:val="lowerLetter"/>
      <w:start w:val="1"/>
    </w:lvl>
    <w:lvl w:ilvl="1">
      <w:lvlJc w:val="left"/>
      <w:lvlText w:val="(%2)"/>
      <w:numFmt w:val="decimal"/>
      <w:start w:val="2"/>
    </w:lvl>
  </w:abstractNum>
  <w:abstractNum w:abstractNumId="35">
    <w:nsid w:val="168E121F"/>
    <w:multiLevelType w:val="hybridMultilevel"/>
    <w:lvl w:ilvl="0">
      <w:lvlJc w:val="left"/>
      <w:lvlText w:val="(%1)"/>
      <w:numFmt w:val="lowerLetter"/>
      <w:start w:val="2"/>
    </w:lvl>
    <w:lvl w:ilvl="1">
      <w:lvlJc w:val="left"/>
      <w:lvlText w:val="%2"/>
      <w:numFmt w:val="decimal"/>
      <w:start w:val="1"/>
    </w:lvl>
  </w:abstractNum>
  <w:abstractNum w:abstractNumId="36">
    <w:nsid w:val="1EBA5D23"/>
    <w:multiLevelType w:val="hybridMultilevel"/>
    <w:lvl w:ilvl="0">
      <w:lvlJc w:val="left"/>
      <w:lvlText w:val="(%1)"/>
      <w:numFmt w:val="lowerLetter"/>
      <w:start w:val="3"/>
    </w:lvl>
  </w:abstractNum>
  <w:abstractNum w:abstractNumId="37">
    <w:nsid w:val="661E3F1E"/>
    <w:multiLevelType w:val="hybridMultilevel"/>
    <w:lvl w:ilvl="0">
      <w:lvlJc w:val="left"/>
      <w:lvlText w:val="%1"/>
      <w:numFmt w:val="decimal"/>
      <w:start w:val="10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0">
    <w:nsid w:val="7BD3EE7B"/>
    <w:multiLevelType w:val="hybridMultilevel"/>
    <w:lvl w:ilvl="0">
      <w:lvlJc w:val="left"/>
      <w:lvlText w:val="(%1)"/>
      <w:numFmt w:val="lowerRoman"/>
      <w:start w:val="2"/>
    </w:lvl>
  </w:abstractNum>
  <w:abstractNum w:abstractNumId="41">
    <w:nsid w:val="51D9C564"/>
    <w:multiLevelType w:val="hybridMultilevel"/>
    <w:lvl w:ilvl="0">
      <w:lvlJc w:val="left"/>
      <w:lvlText w:val="(%1)"/>
      <w:numFmt w:val="lowerLetter"/>
      <w:start w:val="6"/>
    </w:lvl>
  </w:abstractNum>
  <w:abstractNum w:abstractNumId="42">
    <w:nsid w:val="613EFDC5"/>
    <w:multiLevelType w:val="hybridMultilevel"/>
    <w:lvl w:ilvl="0">
      <w:lvlJc w:val="left"/>
      <w:lvlText w:val="(%1)"/>
      <w:numFmt w:val="lowerLetter"/>
      <w:start w:val="10"/>
    </w:lvl>
  </w:abstractNum>
  <w:abstractNum w:abstractNumId="43">
    <w:nsid w:val="BF72B14"/>
    <w:multiLevelType w:val="hybridMultilevel"/>
    <w:lvl w:ilvl="0">
      <w:lvlJc w:val="left"/>
      <w:lvlText w:val="(%1)"/>
      <w:numFmt w:val="lowerLetter"/>
      <w:start w:val="15"/>
    </w:lvl>
    <w:lvl w:ilvl="1">
      <w:lvlJc w:val="left"/>
      <w:lvlText w:val="(%2)"/>
      <w:numFmt w:val="lowerRoman"/>
      <w:start w:val="1"/>
    </w:lvl>
  </w:abstractNum>
  <w:abstractNum w:abstractNumId="44">
    <w:nsid w:val="11447B73"/>
    <w:multiLevelType w:val="hybridMultilevel"/>
    <w:lvl w:ilvl="0">
      <w:lvlJc w:val="left"/>
      <w:lvlText w:val="%1"/>
      <w:numFmt w:val="decimal"/>
      <w:start w:val="1"/>
    </w:lvl>
    <w:lvl w:ilvl="1">
      <w:lvlJc w:val="left"/>
      <w:lvlText w:val="(%2)"/>
      <w:numFmt w:val="lowerLetter"/>
      <w:start w:val="21"/>
    </w:lvl>
  </w:abstractNum>
  <w:abstractNum w:abstractNumId="45">
    <w:nsid w:val="42963E5A"/>
    <w:multiLevelType w:val="hybridMultilevel"/>
    <w:lvl w:ilvl="0">
      <w:lvlJc w:val="left"/>
      <w:lvlText w:val="(%1)"/>
      <w:numFmt w:val="decimal"/>
      <w:start w:val="6"/>
    </w:lvl>
    <w:lvl w:ilvl="1">
      <w:lvlJc w:val="left"/>
      <w:lvlText w:val="%2"/>
      <w:numFmt w:val="lowerLetter"/>
      <w:start w:val="1"/>
    </w:lvl>
  </w:abstractNum>
  <w:abstractNum w:abstractNumId="46">
    <w:nsid w:val="A0382C5"/>
    <w:multiLevelType w:val="hybridMultilevel"/>
    <w:lvl w:ilvl="0">
      <w:lvlJc w:val="left"/>
      <w:lvlText w:val="(%1)"/>
      <w:numFmt w:val="decimal"/>
      <w:start w:val="6"/>
    </w:lvl>
    <w:lvl w:ilvl="1">
      <w:lvlJc w:val="left"/>
      <w:lvlText w:val="(%2)"/>
      <w:numFmt w:val="lowerLetter"/>
      <w:start w:val="26"/>
    </w:lvl>
  </w:abstractNum>
  <w:abstractNum w:abstractNumId="47">
    <w:nsid w:val="8F2B15E"/>
    <w:multiLevelType w:val="hybridMultilevel"/>
    <w:lvl w:ilvl="0">
      <w:lvlJc w:val="left"/>
      <w:lvlText w:val="(%1)"/>
      <w:numFmt w:val="lowerLetter"/>
      <w:start w:val="27"/>
    </w:lvl>
  </w:abstractNum>
  <w:abstractNum w:abstractNumId="48">
    <w:nsid w:val="1A32234B"/>
    <w:multiLevelType w:val="hybridMultilevel"/>
    <w:lvl w:ilvl="0">
      <w:lvlJc w:val="left"/>
      <w:lvlText w:val="%1"/>
      <w:numFmt w:val="decimal"/>
      <w:start w:val="1"/>
    </w:lvl>
    <w:lvl w:ilvl="1">
      <w:lvlJc w:val="left"/>
      <w:lvlText w:val="(%2)"/>
      <w:numFmt w:val="lowerLetter"/>
      <w:start w:val="32"/>
    </w:lvl>
  </w:abstractNum>
  <w:abstractNum w:abstractNumId="49">
    <w:nsid w:val="3B0FD379"/>
    <w:multiLevelType w:val="hybridMultilevel"/>
    <w:lvl w:ilvl="0">
      <w:lvlJc w:val="left"/>
      <w:lvlText w:val="%1."/>
      <w:numFmt w:val="decimal"/>
      <w:start w:val="3"/>
    </w:lvl>
    <w:lvl w:ilvl="1">
      <w:lvlJc w:val="left"/>
      <w:lvlText w:val="(%2)"/>
      <w:numFmt w:val="lowerLetter"/>
      <w:start w:val="1"/>
    </w:lvl>
  </w:abstractNum>
  <w:abstractNum w:abstractNumId="50">
    <w:nsid w:val="68EB2F6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51">
    <w:nsid w:val="4962813B"/>
    <w:multiLevelType w:val="hybridMultilevel"/>
    <w:lvl w:ilvl="0">
      <w:lvlJc w:val="left"/>
      <w:lvlText w:val="(%1)"/>
      <w:numFmt w:val="decimal"/>
      <w:start w:val="10"/>
    </w:lvl>
    <w:lvl w:ilvl="1">
      <w:lvlJc w:val="left"/>
      <w:lvlText w:val="%2."/>
      <w:numFmt w:val="decimal"/>
      <w:start w:val="5"/>
    </w:lvl>
    <w:lvl w:ilvl="2">
      <w:lvlJc w:val="left"/>
      <w:lvlText w:val="(%3)"/>
      <w:numFmt w:val="lowerLetter"/>
      <w:start w:val="2"/>
    </w:lvl>
  </w:abstractNum>
  <w:abstractNum w:abstractNumId="52">
    <w:nsid w:val="60B6DF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3">
    <w:nsid w:val="6A5EE64"/>
    <w:multiLevelType w:val="hybridMultilevel"/>
    <w:lvl w:ilvl="0">
      <w:lvlJc w:val="left"/>
      <w:lvlText w:val="%1"/>
      <w:numFmt w:val="decimal"/>
      <w:start w:val="1"/>
    </w:lvl>
    <w:lvl w:ilvl="1">
      <w:lvlJc w:val="left"/>
      <w:lvlText w:val="(%2)"/>
      <w:numFmt w:val="lowerLetter"/>
      <w:start w:val="4"/>
    </w:lvl>
  </w:abstractNum>
  <w:abstractNum w:abstractNumId="54">
    <w:nsid w:val="14330624"/>
    <w:multiLevelType w:val="hybridMultilevel"/>
    <w:lvl w:ilvl="0">
      <w:lvlJc w:val="left"/>
      <w:lvlText w:val="%1."/>
      <w:numFmt w:val="decimal"/>
      <w:start w:val="7"/>
    </w:lvl>
    <w:lvl w:ilvl="1">
      <w:lvlJc w:val="left"/>
      <w:lvlText w:val="%2"/>
      <w:numFmt w:val="lowerLetter"/>
      <w:start w:val="1"/>
    </w:lvl>
  </w:abstractNum>
  <w:abstractNum w:abstractNumId="55">
    <w:nsid w:val="7FFFCA11"/>
    <w:multiLevelType w:val="hybridMultilevel"/>
    <w:lvl w:ilvl="0">
      <w:lvlJc w:val="left"/>
      <w:lvlText w:val="%1."/>
      <w:numFmt w:val="decimal"/>
      <w:start w:val="8"/>
    </w:lvl>
    <w:lvl w:ilvl="1">
      <w:lvlJc w:val="left"/>
      <w:lvlText w:val="(%2)"/>
      <w:numFmt w:val="lowerLetter"/>
      <w:start w:val="1"/>
    </w:lvl>
  </w:abstractNum>
  <w:abstractNum w:abstractNumId="56">
    <w:nsid w:val="1A27709E"/>
    <w:multiLevelType w:val="hybridMultilevel"/>
    <w:lvl w:ilvl="0">
      <w:lvlJc w:val="left"/>
      <w:lvlText w:val="%1."/>
      <w:numFmt w:val="decimal"/>
      <w:start w:val="10"/>
    </w:lvl>
    <w:lvl w:ilvl="1">
      <w:lvlJc w:val="left"/>
      <w:lvlText w:val="(%2)"/>
      <w:numFmt w:val="lowerLetter"/>
      <w:start w:val="1"/>
    </w:lvl>
  </w:abstractNum>
  <w:abstractNum w:abstractNumId="57">
    <w:nsid w:val="71EA1109"/>
    <w:multiLevelType w:val="hybridMultilevel"/>
    <w:lvl w:ilvl="0">
      <w:lvlJc w:val="left"/>
      <w:lvlText w:val="%1"/>
      <w:numFmt w:val="decimal"/>
      <w:start w:val="1"/>
    </w:lvl>
    <w:lvl w:ilvl="1">
      <w:lvlJc w:val="left"/>
      <w:lvlText w:val="(%2)"/>
      <w:numFmt w:val="lowerLetter"/>
      <w:start w:val="2"/>
    </w:lvl>
  </w:abstractNum>
  <w:abstractNum w:abstractNumId="58">
    <w:nsid w:val="100F59DC"/>
    <w:multiLevelType w:val="hybridMultilevel"/>
    <w:lvl w:ilvl="0">
      <w:lvlJc w:val="left"/>
      <w:lvlText w:val="%1."/>
      <w:numFmt w:val="decimal"/>
      <w:start w:val="14"/>
    </w:lvl>
    <w:lvl w:ilvl="1">
      <w:lvlJc w:val="left"/>
      <w:lvlText w:val="(%2)"/>
      <w:numFmt w:val="lowerLetter"/>
      <w:start w:val="1"/>
    </w:lvl>
  </w:abstractNum>
  <w:abstractNum w:abstractNumId="59">
    <w:nsid w:val="7FB7E0AA"/>
    <w:multiLevelType w:val="hybridMultilevel"/>
    <w:lvl w:ilvl="0">
      <w:lvlJc w:val="left"/>
      <w:lvlText w:val="%1"/>
      <w:numFmt w:val="decimal"/>
      <w:start w:val="1"/>
    </w:lvl>
    <w:lvl w:ilvl="1">
      <w:lvlJc w:val="left"/>
      <w:lvlText w:val="(%2)"/>
      <w:numFmt w:val="lowerLetter"/>
      <w:start w:val="2"/>
    </w:lvl>
  </w:abstractNum>
  <w:abstractNum w:abstractNumId="60">
    <w:nsid w:val="6EB5BD4"/>
    <w:multiLevelType w:val="hybridMultilevel"/>
    <w:lvl w:ilvl="0">
      <w:lvlJc w:val="left"/>
      <w:lvlText w:val="%1."/>
      <w:numFmt w:val="decimal"/>
      <w:start w:val="16"/>
    </w:lvl>
    <w:lvl w:ilvl="1">
      <w:lvlJc w:val="left"/>
      <w:lvlText w:val="(%2)"/>
      <w:numFmt w:val="lowerLetter"/>
      <w:start w:val="1"/>
    </w:lvl>
  </w:abstractNum>
  <w:abstractNum w:abstractNumId="61">
    <w:nsid w:val="6F6DD9AC"/>
    <w:multiLevelType w:val="hybridMultilevel"/>
    <w:lvl w:ilvl="0">
      <w:lvlJc w:val="left"/>
      <w:lvlText w:val="%1"/>
      <w:numFmt w:val="decimal"/>
      <w:start w:val="1"/>
    </w:lvl>
    <w:lvl w:ilvl="1">
      <w:lvlJc w:val="left"/>
      <w:lvlText w:val="(%2)"/>
      <w:numFmt w:val="lowerLetter"/>
      <w:start w:val="2"/>
    </w:lvl>
  </w:abstractNum>
  <w:abstractNum w:abstractNumId="62">
    <w:nsid w:val="94211F2"/>
    <w:multiLevelType w:val="hybridMultilevel"/>
    <w:lvl w:ilvl="0">
      <w:lvlJc w:val="left"/>
      <w:lvlText w:val="%1."/>
      <w:numFmt w:val="decimal"/>
      <w:start w:val="20"/>
    </w:lvl>
    <w:lvl w:ilvl="1">
      <w:lvlJc w:val="left"/>
      <w:lvlText w:val="(%2)"/>
      <w:numFmt w:val="lowerLetter"/>
      <w:start w:val="1"/>
    </w:lvl>
  </w:abstractNum>
  <w:abstractNum w:abstractNumId="63">
    <w:nsid w:val="885E1B"/>
    <w:multiLevelType w:val="hybridMultilevel"/>
    <w:lvl w:ilvl="0">
      <w:lvlJc w:val="left"/>
      <w:lvlText w:val="(%1)"/>
      <w:numFmt w:val="lowerLetter"/>
      <w:start w:val="3"/>
    </w:lvl>
    <w:lvl w:ilvl="1">
      <w:lvlJc w:val="left"/>
      <w:lvlText w:val="(%2)"/>
      <w:numFmt w:val="lowerRoman"/>
      <w:start w:val="1"/>
    </w:lvl>
  </w:abstractNum>
  <w:abstractNum w:abstractNumId="64">
    <w:nsid w:val="76272110"/>
    <w:multiLevelType w:val="hybridMultilevel"/>
    <w:lvl w:ilvl="0">
      <w:lvlJc w:val="left"/>
      <w:lvlText w:val="%1."/>
      <w:numFmt w:val="decimal"/>
      <w:start w:val="21"/>
    </w:lvl>
  </w:abstractNum>
  <w:abstractNum w:abstractNumId="65">
    <w:nsid w:val="4C04A8AF"/>
    <w:multiLevelType w:val="hybridMultilevel"/>
    <w:lvl w:ilvl="0">
      <w:lvlJc w:val="left"/>
      <w:lvlText w:val="%1"/>
      <w:numFmt w:val="decimal"/>
      <w:start w:val="1"/>
    </w:lvl>
    <w:lvl w:ilvl="1">
      <w:lvlJc w:val="left"/>
      <w:lvlText w:val="%2."/>
      <w:numFmt w:val="decimal"/>
      <w:start w:val="23"/>
    </w:lvl>
  </w:abstractNum>
  <w:abstractNum w:abstractNumId="66">
    <w:nsid w:val="1716703B"/>
    <w:multiLevelType w:val="hybridMultilevel"/>
    <w:lvl w:ilvl="0">
      <w:lvlJc w:val="left"/>
      <w:lvlText w:val="(%1)"/>
      <w:numFmt w:val="decimal"/>
      <w:start w:val="10"/>
    </w:lvl>
    <w:lvl w:ilvl="1">
      <w:lvlJc w:val="left"/>
      <w:lvlText w:val="%2."/>
      <w:numFmt w:val="decimal"/>
      <w:start w:val="24"/>
    </w:lvl>
  </w:abstractNum>
  <w:abstractNum w:abstractNumId="67">
    <w:nsid w:val="14E17E33"/>
    <w:multiLevelType w:val="hybridMultilevel"/>
    <w:lvl w:ilvl="0">
      <w:lvlJc w:val="left"/>
      <w:lvlText w:val="•"/>
      <w:numFmt w:val="bullet"/>
      <w:start w:val="1"/>
    </w:lvl>
    <w:lvl w:ilvl="1">
      <w:lvlJc w:val="left"/>
      <w:lvlText w:val="◦"/>
      <w:numFmt w:val="bullet"/>
      <w:start w:val="1"/>
    </w:lvl>
  </w:abstractNum>
  <w:abstractNum w:abstractNumId="68">
    <w:nsid w:val="3222E7CD"/>
    <w:multiLevelType w:val="hybridMultilevel"/>
    <w:lvl w:ilvl="0">
      <w:lvlJc w:val="left"/>
      <w:lvlText w:val="(%1)"/>
      <w:numFmt w:val="lowerLetter"/>
      <w:start w:val="1"/>
    </w:lvl>
    <w:lvl w:ilvl="1">
      <w:lvlJc w:val="left"/>
      <w:lvlText w:val="-"/>
      <w:numFmt w:val="bullet"/>
      <w:start w:val="1"/>
    </w:lvl>
  </w:abstractNum>
  <w:abstractNum w:abstractNumId="69">
    <w:nsid w:val="74DE0EE3"/>
    <w:multiLevelType w:val="hybridMultilevel"/>
    <w:lvl w:ilvl="0">
      <w:lvlJc w:val="left"/>
      <w:lvlText w:val="(%1)"/>
      <w:numFmt w:val="lowerLetter"/>
      <w:start w:val="12"/>
    </w:lvl>
    <w:lvl w:ilvl="1">
      <w:lvlJc w:val="left"/>
      <w:lvlText w:val="-"/>
      <w:numFmt w:val="bullet"/>
      <w:start w:val="1"/>
    </w:lvl>
  </w:abstractNum>
  <w:abstractNum w:abstractNumId="70">
    <w:nsid w:val="68EBC550"/>
    <w:multiLevelType w:val="hybridMultilevel"/>
    <w:lvl w:ilvl="0">
      <w:lvlJc w:val="left"/>
      <w:lvlText w:val="(%1)"/>
      <w:numFmt w:val="lowerLetter"/>
      <w:start w:val="24"/>
    </w:lvl>
  </w:abstractNum>
  <w:abstractNum w:abstractNumId="71">
    <w:nsid w:val="2DF6D648"/>
    <w:multiLevelType w:val="hybridMultilevel"/>
    <w:lvl w:ilvl="0">
      <w:lvlJc w:val="left"/>
      <w:lvlText w:val="(%1)"/>
      <w:numFmt w:val="lowerLetter"/>
      <w:start w:val="27"/>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4">
    <w:nsid w:val="39EE015C"/>
    <w:multiLevelType w:val="hybridMultilevel"/>
    <w:lvl w:ilvl="0">
      <w:lvlJc w:val="left"/>
      <w:lvlText w:val="%1"/>
      <w:numFmt w:val="lowerLetter"/>
      <w:start w:val="1"/>
    </w:lvl>
    <w:lvl w:ilvl="1">
      <w:lvlJc w:val="left"/>
      <w:lvlText w:val="(%2)"/>
      <w:numFmt w:val="lowerLetter"/>
      <w:start w:val="35"/>
    </w:lvl>
  </w:abstractNum>
  <w:abstractNum w:abstractNumId="75">
    <w:nsid w:val="57FC4FBB"/>
    <w:multiLevelType w:val="hybridMultilevel"/>
    <w:lvl w:ilvl="0">
      <w:lvlJc w:val="left"/>
      <w:lvlText w:val="(%1)"/>
      <w:numFmt w:val="lowerLetter"/>
      <w:start w:val="2"/>
    </w:lvl>
    <w:lvl w:ilvl="1">
      <w:lvlJc w:val="left"/>
      <w:lvlText w:val="(%2)"/>
      <w:numFmt w:val="lowerLetter"/>
      <w:start w:val="9"/>
    </w:lvl>
  </w:abstractNum>
  <w:abstractNum w:abstractNumId="76">
    <w:nsid w:val="CC1016F"/>
    <w:multiLevelType w:val="hybridMultilevel"/>
    <w:lvl w:ilvl="0">
      <w:lvlJc w:val="left"/>
      <w:lvlText w:val="(%1)"/>
      <w:numFmt w:val="lowerRoman"/>
      <w:start w:val="2"/>
    </w:lvl>
  </w:abstractNum>
  <w:abstractNum w:abstractNumId="77">
    <w:nsid w:val="43F18422"/>
    <w:multiLevelType w:val="hybridMultilevel"/>
    <w:lvl w:ilvl="0">
      <w:lvlJc w:val="left"/>
      <w:lvlText w:val="(%1)"/>
      <w:numFmt w:val="lowerLetter"/>
      <w:start w:val="3"/>
    </w:lvl>
    <w:lvl w:ilvl="1">
      <w:lvlJc w:val="left"/>
      <w:lvlText w:val="-"/>
      <w:numFmt w:val="bullet"/>
      <w:start w:val="1"/>
    </w:lvl>
  </w:abstractNum>
  <w:abstractNum w:abstractNumId="78">
    <w:nsid w:val="60EF0119"/>
    <w:multiLevelType w:val="hybridMultilevel"/>
    <w:lvl w:ilvl="0">
      <w:lvlJc w:val="left"/>
      <w:lvlText w:val="(%1)"/>
      <w:numFmt w:val="lowerLetter"/>
      <w:start w:val="6"/>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lowerLetter"/>
      <w:start w:val="4"/>
    </w:lvl>
  </w:abstractNum>
  <w:abstractNum w:abstractNumId="81">
    <w:nsid w:val="49DA307D"/>
    <w:multiLevelType w:val="hybridMultilevel"/>
    <w:lvl w:ilvl="0">
      <w:lvlJc w:val="left"/>
      <w:lvlText w:val="(%1)"/>
      <w:numFmt w:val="lowerRoman"/>
      <w:start w:val="2"/>
    </w:lvl>
  </w:abstractNum>
  <w:abstractNum w:abstractNumId="82">
    <w:nsid w:val="7055A5F5"/>
    <w:multiLevelType w:val="hybridMultilevel"/>
    <w:lvl w:ilvl="0">
      <w:lvlJc w:val="left"/>
      <w:lvlText w:val="(%1)"/>
      <w:numFmt w:val="lowerLetter"/>
      <w:start w:val="1"/>
    </w:lvl>
    <w:lvl w:ilvl="1">
      <w:lvlJc w:val="left"/>
      <w:lvlText w:val="-"/>
      <w:numFmt w:val="bullet"/>
      <w:start w:val="1"/>
    </w:lvl>
  </w:abstractNum>
  <w:abstractNum w:abstractNumId="83">
    <w:nsid w:val="5FB8370B"/>
    <w:multiLevelType w:val="hybridMultilevel"/>
    <w:lvl w:ilvl="0">
      <w:lvlJc w:val="left"/>
      <w:lvlText w:val="(%1)"/>
      <w:numFmt w:val="lowerLetter"/>
      <w:start w:val="2"/>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1."/>
      <w:numFmt w:val="decimal"/>
      <w:start w:val="2"/>
    </w:lvl>
    <w:lvl w:ilvl="1">
      <w:lvlJc w:val="left"/>
      <w:lvlText w:val="(%2)"/>
      <w:numFmt w:val="lowerLetter"/>
      <w:start w:val="1"/>
    </w:lvl>
  </w:abstractNum>
  <w:abstractNum w:abstractNumId="88">
    <w:nsid w:val="7672BD23"/>
    <w:multiLevelType w:val="hybridMultilevel"/>
    <w:lvl w:ilvl="0">
      <w:lvlJc w:val="left"/>
      <w:lvlText w:val="%1"/>
      <w:numFmt w:val="decimal"/>
      <w:start w:val="1"/>
    </w:lvl>
    <w:lvl w:ilvl="1">
      <w:lvlJc w:val="left"/>
      <w:lvlText w:val="(%2)"/>
      <w:numFmt w:val="lowerLetter"/>
      <w:start w:val="3"/>
    </w:lvl>
  </w:abstractNum>
  <w:abstractNum w:abstractNumId="89">
    <w:nsid w:val="6FC75AF8"/>
    <w:multiLevelType w:val="hybridMultilevel"/>
    <w:lvl w:ilvl="0">
      <w:lvlJc w:val="left"/>
      <w:lvlText w:val="%1."/>
      <w:numFmt w:val="decimal"/>
      <w:start w:val="3"/>
    </w:lvl>
    <w:lvl w:ilvl="1">
      <w:lvlJc w:val="left"/>
      <w:lvlText w:val="%2"/>
      <w:numFmt w:val="lowerLetter"/>
      <w:start w:val="1"/>
    </w:lvl>
  </w:abstractNum>
  <w:abstractNum w:abstractNumId="90">
    <w:nsid w:val="6A5F7029"/>
    <w:multiLevelType w:val="hybridMultilevel"/>
    <w:lvl w:ilvl="0">
      <w:lvlJc w:val="left"/>
      <w:lvlText w:val="%1."/>
      <w:numFmt w:val="decimal"/>
      <w:start w:val="4"/>
    </w:lvl>
  </w:abstractNum>
  <w:abstractNum w:abstractNumId="91">
    <w:nsid w:val="7D5E18F8"/>
    <w:multiLevelType w:val="hybridMultilevel"/>
    <w:lvl w:ilvl="0">
      <w:lvlJc w:val="left"/>
      <w:lvlText w:val="%1."/>
      <w:numFmt w:val="decimal"/>
      <w:start w:val="5"/>
    </w:lvl>
    <w:lvl w:ilvl="1">
      <w:lvlJc w:val="left"/>
      <w:lvlText w:val="(%2)"/>
      <w:numFmt w:val="lowerLetter"/>
      <w:start w:val="1"/>
    </w:lvl>
  </w:abstractNum>
  <w:abstractNum w:abstractNumId="92">
    <w:nsid w:val="5F3534A4"/>
    <w:multiLevelType w:val="hybridMultilevel"/>
    <w:lvl w:ilvl="0">
      <w:lvlJc w:val="left"/>
      <w:lvlText w:val="%1"/>
      <w:numFmt w:val="lowerLetter"/>
      <w:start w:val="1"/>
    </w:lvl>
    <w:lvl w:ilvl="1">
      <w:lvlJc w:val="left"/>
      <w:lvlText w:val="(%2)"/>
      <w:numFmt w:val="lowerLetter"/>
      <w:start w:val="3"/>
    </w:lvl>
  </w:abstractNum>
  <w:abstractNum w:abstractNumId="93">
    <w:nsid w:val="73A1821B"/>
    <w:multiLevelType w:val="hybridMultilevel"/>
    <w:lvl w:ilvl="0">
      <w:lvlJc w:val="left"/>
      <w:lvlText w:val="(%1)"/>
      <w:numFmt w:val="lowerLetter"/>
      <w:start w:val="9"/>
    </w:lvl>
    <w:lvl w:ilvl="1">
      <w:lvlJc w:val="left"/>
      <w:lvlText w:val="%2"/>
      <w:numFmt w:val="lowerLetter"/>
      <w:start w:val="1"/>
    </w:lvl>
  </w:abstractNum>
  <w:abstractNum w:abstractNumId="94">
    <w:nsid w:val="7DE67713"/>
    <w:multiLevelType w:val="hybridMultilevel"/>
    <w:lvl w:ilvl="0">
      <w:lvlJc w:val="left"/>
      <w:lvlText w:val="%1."/>
      <w:numFmt w:val="decimal"/>
      <w:start w:val="6"/>
    </w:lvl>
  </w:abstractNum>
  <w:abstractNum w:abstractNumId="95">
    <w:nsid w:val="555C55B5"/>
    <w:multiLevelType w:val="hybridMultilevel"/>
    <w:lvl w:ilvl="0">
      <w:lvlJc w:val="left"/>
      <w:lvlText w:val="%1."/>
      <w:numFmt w:val="decimal"/>
      <w:start w:val="7"/>
    </w:lvl>
    <w:lvl w:ilvl="1">
      <w:lvlJc w:val="left"/>
      <w:lvlText w:val="(%2)"/>
      <w:numFmt w:val="lowerLetter"/>
      <w:start w:val="1"/>
    </w:lvl>
  </w:abstractNum>
  <w:abstractNum w:abstractNumId="96">
    <w:nsid w:val="3FA62ACA"/>
    <w:multiLevelType w:val="hybridMultilevel"/>
    <w:lvl w:ilvl="0">
      <w:lvlJc w:val="left"/>
      <w:lvlText w:val="(%1)"/>
      <w:numFmt w:val="lowerLetter"/>
      <w:start w:val="2"/>
    </w:lvl>
    <w:lvl w:ilvl="1">
      <w:lvlJc w:val="left"/>
      <w:lvlText w:val="(%2)"/>
      <w:numFmt w:val="lowerRoman"/>
      <w:start w:val="1"/>
    </w:lvl>
  </w:abstractNum>
  <w:abstractNum w:abstractNumId="97">
    <w:nsid w:val="14FCE74E"/>
    <w:multiLevelType w:val="hybridMultilevel"/>
    <w:lvl w:ilvl="0">
      <w:lvlJc w:val="left"/>
      <w:lvlText w:val="%1."/>
      <w:numFmt w:val="decimal"/>
      <w:start w:val="8"/>
    </w:lvl>
  </w:abstractNum>
  <w:abstractNum w:abstractNumId="98">
    <w:nsid w:val="6A3DD3E8"/>
    <w:multiLevelType w:val="hybridMultilevel"/>
    <w:lvl w:ilvl="0">
      <w:lvlJc w:val="left"/>
      <w:lvlText w:val="%1."/>
      <w:numFmt w:val="decimal"/>
      <w:start w:val="9"/>
    </w:lvl>
  </w:abstractNum>
  <w:abstractNum w:abstractNumId="99">
    <w:nsid w:val="71C91298"/>
    <w:multiLevelType w:val="hybridMultilevel"/>
    <w:lvl w:ilvl="0">
      <w:lvlJc w:val="left"/>
      <w:lvlText w:val="%1."/>
      <w:numFmt w:val="decimal"/>
      <w:start w:val="10"/>
    </w:lvl>
  </w:abstractNum>
  <w:abstractNum w:abstractNumId="100">
    <w:nsid w:val="9DAF632"/>
    <w:multiLevelType w:val="hybridMultilevel"/>
    <w:lvl w:ilvl="0">
      <w:lvlJc w:val="left"/>
      <w:lvlText w:val="%1."/>
      <w:numFmt w:val="decimal"/>
      <w:start w:val="11"/>
    </w:lvl>
    <w:lvl w:ilvl="1">
      <w:lvlJc w:val="left"/>
      <w:lvlText w:val="(%2)"/>
      <w:numFmt w:val="lowerLetter"/>
      <w:start w:val="1"/>
    </w:lvl>
  </w:abstractNum>
  <w:abstractNum w:abstractNumId="101">
    <w:nsid w:val="53299938"/>
    <w:multiLevelType w:val="hybridMultilevel"/>
    <w:lvl w:ilvl="0">
      <w:lvlJc w:val="left"/>
      <w:lvlText w:val="(%1)"/>
      <w:numFmt w:val="lowerLetter"/>
      <w:start w:val="3"/>
    </w:lvl>
  </w:abstractNum>
  <w:abstractNum w:abstractNumId="102">
    <w:nsid w:val="1FBFE8E0"/>
    <w:multiLevelType w:val="hybridMultilevel"/>
    <w:lvl w:ilvl="0">
      <w:lvlJc w:val="left"/>
      <w:lvlText w:val="(%1)"/>
      <w:numFmt w:val="lowerLetter"/>
      <w:start w:val="9"/>
    </w:lvl>
  </w:abstractNum>
  <w:abstractNum w:abstractNumId="103">
    <w:nsid w:val="5092CA79"/>
    <w:multiLevelType w:val="hybridMultilevel"/>
    <w:lvl w:ilvl="0">
      <w:lvlJc w:val="left"/>
      <w:lvlText w:val="(%1)"/>
      <w:numFmt w:val="lowerLetter"/>
      <w:start w:val="13"/>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2019-12-29T16:38:58Z</dcterms:created>
  <dcterms:modified xsi:type="dcterms:W3CDTF">2019-12-29T16:38:58Z</dcterms:modified>
</cp:coreProperties>
</file>