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RHINES WALDEN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19"/>
        <w:gridCol w:w="787"/>
        <w:gridCol w:w="661"/>
        <w:gridCol w:w="303"/>
        <w:gridCol w:w="944"/>
        <w:gridCol w:w="459"/>
        <w:gridCol w:w="624"/>
        <w:gridCol w:w="1178"/>
        <w:gridCol w:w="101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74,065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that was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and (ii) each outstanding restricted stock unit award corresponding to shares of Qorvo common stock held by the Reporting Person was cancelled in consideration for the right to receive (x) the Merger Consideration in respect of each share of Qorvo common stock then subject thereto and (y) an amount in cash equal to all dividend equivalents accrued but unpaid with respect thereto.</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184"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4049</Characters>
  <CharactersWithSpaces>4733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