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131445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3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fiscal year ended April 2, 2016</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320" w:hanging="285"/>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3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transition period from</w:t>
      </w:r>
      <w:r>
        <w:rPr>
          <w:rFonts w:ascii="Arial" w:cs="Arial" w:eastAsia="Arial" w:hAnsi="Arial"/>
          <w:sz w:val="18"/>
          <w:szCs w:val="18"/>
          <w:b w:val="1"/>
          <w:bCs w:val="1"/>
          <w:u w:val="single" w:color="auto"/>
          <w:color w:val="auto"/>
        </w:rPr>
        <w:t>_______</w:t>
      </w:r>
      <w:r>
        <w:rPr>
          <w:rFonts w:ascii="Arial" w:cs="Arial" w:eastAsia="Arial" w:hAnsi="Arial"/>
          <w:sz w:val="18"/>
          <w:szCs w:val="18"/>
          <w:b w:val="1"/>
          <w:bCs w:val="1"/>
          <w:color w:val="auto"/>
        </w:rPr>
        <w:t xml:space="preserve"> to</w:t>
      </w:r>
      <w:r>
        <w:rPr>
          <w:rFonts w:ascii="Arial" w:cs="Arial" w:eastAsia="Arial" w:hAnsi="Arial"/>
          <w:sz w:val="18"/>
          <w:szCs w:val="18"/>
          <w:b w:val="1"/>
          <w:bCs w:val="1"/>
          <w:u w:val="single" w:color="auto"/>
          <w:color w:val="auto"/>
        </w:rPr>
        <w:t>_______</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51435</wp:posOffset>
            </wp:positionV>
            <wp:extent cx="224663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663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980" w:type="dxa"/>
        <w:tblCellMar>
          <w:top w:w="0" w:type="dxa"/>
          <w:left w:w="0" w:type="dxa"/>
          <w:bottom w:w="0" w:type="dxa"/>
          <w:right w:w="0" w:type="dxa"/>
        </w:tblCellMar>
      </w:tblPr>
      <w:tr>
        <w:trPr>
          <w:trHeight w:val="369"/>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ind w:left="1460"/>
              <w:spacing w:after="0"/>
              <w:rPr>
                <w:sz w:val="20"/>
                <w:szCs w:val="20"/>
                <w:color w:val="auto"/>
              </w:rPr>
            </w:pPr>
            <w:r>
              <w:rPr>
                <w:rFonts w:ascii="Arial" w:cs="Arial" w:eastAsia="Arial" w:hAnsi="Arial"/>
                <w:sz w:val="29"/>
                <w:szCs w:val="29"/>
                <w:b w:val="1"/>
                <w:bCs w:val="1"/>
                <w:color w:val="auto"/>
              </w:rPr>
              <w:t>Qorvo, Inc.</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40"/>
        </w:trPr>
        <w:tc>
          <w:tcPr>
            <w:tcW w:w="580" w:type="dxa"/>
            <w:vAlign w:val="bottom"/>
          </w:tcPr>
          <w:p>
            <w:pPr>
              <w:spacing w:after="0"/>
              <w:rPr>
                <w:sz w:val="24"/>
                <w:szCs w:val="24"/>
                <w:color w:val="auto"/>
              </w:rPr>
            </w:pPr>
          </w:p>
        </w:tc>
        <w:tc>
          <w:tcPr>
            <w:tcW w:w="19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7360" w:type="dxa"/>
            <w:vAlign w:val="bottom"/>
            <w:gridSpan w:val="2"/>
          </w:tcPr>
          <w:p>
            <w:pPr>
              <w:jc w:val="center"/>
              <w:ind w:left="3945"/>
              <w:spacing w:after="0"/>
              <w:rPr>
                <w:sz w:val="20"/>
                <w:szCs w:val="20"/>
                <w:color w:val="auto"/>
              </w:rPr>
            </w:pPr>
            <w:r>
              <w:rPr>
                <w:rFonts w:ascii="Arial" w:cs="Arial" w:eastAsia="Arial" w:hAnsi="Arial"/>
                <w:sz w:val="18"/>
                <w:szCs w:val="18"/>
                <w:b w:val="1"/>
                <w:bCs w:val="1"/>
                <w:color w:val="auto"/>
                <w:w w:val="91"/>
              </w:rPr>
              <w:t>46-5288992</w:t>
            </w:r>
          </w:p>
        </w:tc>
      </w:tr>
      <w:tr>
        <w:trPr>
          <w:trHeight w:val="256"/>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402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945"/>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94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1"/>
              </w:rPr>
              <w:t>7628 Thorndike Road, Greensboro, North Carolina 27409-9421</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b w:val="1"/>
                <w:bCs w:val="1"/>
                <w:color w:val="auto"/>
                <w:w w:val="87"/>
              </w:rPr>
              <w:t>and</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50"/>
              <w:spacing w:after="0"/>
              <w:rPr>
                <w:sz w:val="20"/>
                <w:szCs w:val="20"/>
                <w:color w:val="auto"/>
              </w:rPr>
            </w:pPr>
            <w:r>
              <w:rPr>
                <w:rFonts w:ascii="Arial" w:cs="Arial" w:eastAsia="Arial" w:hAnsi="Arial"/>
                <w:sz w:val="18"/>
                <w:szCs w:val="18"/>
                <w:b w:val="1"/>
                <w:bCs w:val="1"/>
                <w:color w:val="auto"/>
                <w:w w:val="91"/>
              </w:rPr>
              <w:t>2300 N.E. Brookwood Parkway, Hillsboro, Oregon 97124</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50"/>
              <w:spacing w:after="0"/>
              <w:rPr>
                <w:sz w:val="20"/>
                <w:szCs w:val="20"/>
                <w:color w:val="auto"/>
              </w:rPr>
            </w:pPr>
            <w:r>
              <w:rPr>
                <w:rFonts w:ascii="Arial" w:cs="Arial" w:eastAsia="Arial" w:hAnsi="Arial"/>
                <w:sz w:val="18"/>
                <w:szCs w:val="18"/>
                <w:color w:val="auto"/>
                <w:w w:val="92"/>
              </w:rPr>
              <w:t>(Address of principal executive offices)</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94"/>
              </w:rPr>
              <w:t>(Zip Code)</w:t>
            </w:r>
          </w:p>
        </w:tc>
      </w:tr>
      <w:tr>
        <w:trPr>
          <w:trHeight w:val="50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jc w:val="center"/>
              <w:ind w:right="2850"/>
              <w:spacing w:after="0"/>
              <w:rPr>
                <w:sz w:val="20"/>
                <w:szCs w:val="20"/>
                <w:color w:val="auto"/>
              </w:rPr>
            </w:pPr>
            <w:r>
              <w:rPr>
                <w:rFonts w:ascii="Arial" w:cs="Arial" w:eastAsia="Arial" w:hAnsi="Arial"/>
                <w:sz w:val="18"/>
                <w:szCs w:val="18"/>
                <w:b w:val="1"/>
                <w:bCs w:val="1"/>
                <w:color w:val="auto"/>
                <w:w w:val="90"/>
              </w:rPr>
              <w:t>(336) 664-1233 and (503) 615-9000</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54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5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402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20"/>
          </w:cols>
          <w:pgMar w:left="24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86" w:lineRule="exact"/>
        <w:rPr>
          <w:sz w:val="20"/>
          <w:szCs w:val="20"/>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186" w:lineRule="exact"/>
        <w:rPr>
          <w:sz w:val="20"/>
          <w:szCs w:val="20"/>
          <w:color w:val="auto"/>
        </w:rPr>
      </w:pPr>
    </w:p>
    <w:p>
      <w:pPr>
        <w:ind w:right="220"/>
        <w:spacing w:after="0" w:line="198" w:lineRule="exact"/>
        <w:rPr>
          <w:sz w:val="20"/>
          <w:szCs w:val="20"/>
          <w:color w:val="auto"/>
        </w:rPr>
      </w:pPr>
      <w:r>
        <w:rPr>
          <w:rFonts w:ascii="Arial" w:cs="Arial" w:eastAsia="Arial" w:hAnsi="Arial"/>
          <w:sz w:val="15"/>
          <w:szCs w:val="15"/>
          <w:color w:val="auto"/>
        </w:rPr>
        <w:t>Indicate by check mark if disclosure of delinquent filers pursuant to Item 405 of Regulation S</w:t>
      </w:r>
      <w:r>
        <w:rPr>
          <w:rFonts w:ascii="MS PGothic" w:cs="MS PGothic" w:eastAsia="MS PGothic" w:hAnsi="MS PGothic"/>
          <w:sz w:val="15"/>
          <w:szCs w:val="15"/>
          <w:color w:val="auto"/>
        </w:rPr>
        <w:t>‑</w:t>
      </w:r>
      <w:r>
        <w:rPr>
          <w:rFonts w:ascii="Arial" w:cs="Arial" w:eastAsia="Arial" w:hAnsi="Arial"/>
          <w:sz w:val="15"/>
          <w:szCs w:val="15"/>
          <w:color w:val="auto"/>
        </w:rPr>
        <w:t>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5"/>
          <w:szCs w:val="15"/>
          <w:color w:val="auto"/>
        </w:rPr>
        <w:t>‑</w:t>
      </w:r>
      <w:r>
        <w:rPr>
          <w:rFonts w:ascii="Arial" w:cs="Arial" w:eastAsia="Arial" w:hAnsi="Arial"/>
          <w:sz w:val="15"/>
          <w:szCs w:val="15"/>
          <w:color w:val="auto"/>
        </w:rPr>
        <w:t>K or any amendment to this Form 10</w:t>
      </w:r>
      <w:r>
        <w:rPr>
          <w:rFonts w:ascii="MS PGothic" w:cs="MS PGothic" w:eastAsia="MS PGothic" w:hAnsi="MS PGothic"/>
          <w:sz w:val="15"/>
          <w:szCs w:val="15"/>
          <w:color w:val="auto"/>
        </w:rPr>
        <w:t>‑</w:t>
      </w:r>
      <w:r>
        <w:rPr>
          <w:rFonts w:ascii="Arial" w:cs="Arial" w:eastAsia="Arial" w:hAnsi="Arial"/>
          <w:sz w:val="15"/>
          <w:szCs w:val="15"/>
          <w:color w:val="auto"/>
        </w:rPr>
        <w:t>K. x</w:t>
      </w:r>
    </w:p>
    <w:p>
      <w:pPr>
        <w:spacing w:after="0" w:line="17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30" w:right="279" w:bottom="1440" w:gutter="0" w:footer="0" w:header="0"/>
        </w:sectPr>
      </w:pPr>
    </w:p>
    <w:p>
      <w:pPr>
        <w:spacing w:after="0" w:line="1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29" w:lineRule="exact"/>
        <w:rPr>
          <w:sz w:val="20"/>
          <w:szCs w:val="20"/>
          <w:color w:val="auto"/>
        </w:rPr>
      </w:pPr>
    </w:p>
    <w:p>
      <w:pPr>
        <w:sectPr>
          <w:pgSz w:w="11900" w:h="16838" w:orient="portrait"/>
          <w:cols w:equalWidth="0" w:num="2">
            <w:col w:w="5720" w:space="720"/>
            <w:col w:w="4940"/>
          </w:cols>
          <w:pgMar w:left="240" w:top="130" w:right="279" w:bottom="1440" w:gutter="0" w:footer="0" w:header="0"/>
          <w:type w:val="continuous"/>
        </w:sectPr>
      </w:pPr>
    </w:p>
    <w:p>
      <w:pPr>
        <w:spacing w:after="0" w:line="55"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0"/>
          <w:szCs w:val="20"/>
          <w:color w:val="auto"/>
        </w:rPr>
      </w:pPr>
    </w:p>
    <w:p>
      <w:pPr>
        <w:sectPr>
          <w:pgSz w:w="11900" w:h="16838" w:orient="portrait"/>
          <w:cols w:equalWidth="0" w:num="3">
            <w:col w:w="1600" w:space="40"/>
            <w:col w:w="4080" w:space="720"/>
            <w:col w:w="4940"/>
          </w:cols>
          <w:pgMar w:left="240" w:top="130" w:right="279" w:bottom="1440" w:gutter="0" w:footer="0" w:header="0"/>
          <w:type w:val="continuous"/>
        </w:sectPr>
      </w:pPr>
    </w:p>
    <w:p>
      <w:pPr>
        <w:spacing w:after="0" w:line="2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0"/>
          <w:szCs w:val="20"/>
          <w:color w:val="auto"/>
        </w:rPr>
      </w:pPr>
    </w:p>
    <w:p>
      <w:pPr>
        <w:jc w:val="both"/>
        <w:ind w:right="60"/>
        <w:spacing w:after="0" w:line="315"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$6,316,467,222 as of October 3, 2015.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There were 127,530,673 shares of the registrant's common stock outstanding as of May 18, 2016.</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-116205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8"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The registrant has incorporated by reference into Part III of this report certain portions of its proxy statement for its 2016 annual meeting of stockholders, which is expected to be filed pursuant to Regulation 14A within 120 days after the end of the registrant’s fiscal year ended April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9"/>
              </w:rPr>
              <w:t>QORVO, INC.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8"/>
              </w:rPr>
              <w:t>FORM 10-K</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20" w:type="dxa"/>
            <w:vAlign w:val="bottom"/>
            <w:gridSpan w:val="18"/>
          </w:tcPr>
          <w:p>
            <w:pPr>
              <w:jc w:val="center"/>
              <w:ind w:right="2040"/>
              <w:spacing w:after="0"/>
              <w:rPr>
                <w:sz w:val="20"/>
                <w:szCs w:val="20"/>
                <w:color w:val="auto"/>
              </w:rPr>
            </w:pPr>
            <w:r>
              <w:rPr>
                <w:rFonts w:ascii="Arial" w:cs="Arial" w:eastAsia="Arial" w:hAnsi="Arial"/>
                <w:sz w:val="18"/>
                <w:szCs w:val="18"/>
                <w:b w:val="1"/>
                <w:bCs w:val="1"/>
                <w:color w:val="auto"/>
                <w:w w:val="98"/>
              </w:rPr>
              <w:t>FOR THE FISCAL YEAR ENDED APRIL 2, 2016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Page</w:t>
            </w:r>
          </w:p>
        </w:tc>
      </w:tr>
      <w:tr>
        <w:trPr>
          <w:trHeight w:val="52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gridSpan w:val="2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Forward-Looking Information.</w:t>
              </w:r>
            </w:hyperlink>
          </w:p>
        </w:tc>
        <w:tc>
          <w:tcPr>
            <w:tcW w:w="100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398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2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00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60" w:type="dxa"/>
            <w:vAlign w:val="bottom"/>
            <w:gridSpan w:val="3"/>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Risk Factors.</w:t>
              </w:r>
            </w:hyperlink>
          </w:p>
        </w:tc>
        <w:tc>
          <w:tcPr>
            <w:tcW w:w="7800" w:type="dxa"/>
            <w:vAlign w:val="bottom"/>
            <w:gridSpan w:val="24"/>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100" w:type="dxa"/>
            <w:vAlign w:val="bottom"/>
            <w:gridSpan w:val="8"/>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Unresolved Staff Comments.</w:t>
              </w:r>
            </w:hyperlink>
          </w:p>
        </w:tc>
        <w:tc>
          <w:tcPr>
            <w:tcW w:w="6660" w:type="dxa"/>
            <w:vAlign w:val="bottom"/>
            <w:gridSpan w:val="19"/>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80" w:type="dxa"/>
            <w:vAlign w:val="bottom"/>
            <w:gridSpan w:val="2"/>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Properties.</w:t>
              </w:r>
            </w:hyperlink>
          </w:p>
        </w:tc>
        <w:tc>
          <w:tcPr>
            <w:tcW w:w="1320" w:type="dxa"/>
            <w:vAlign w:val="bottom"/>
            <w:gridSpan w:val="6"/>
          </w:tcPr>
          <w:p>
            <w:pPr>
              <w:spacing w:after="0"/>
              <w:rPr>
                <w:sz w:val="21"/>
                <w:szCs w:val="21"/>
                <w:color w:val="auto"/>
              </w:rPr>
            </w:pPr>
          </w:p>
        </w:tc>
        <w:tc>
          <w:tcPr>
            <w:tcW w:w="6660" w:type="dxa"/>
            <w:vAlign w:val="bottom"/>
            <w:gridSpan w:val="19"/>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2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10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2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10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2"/>
          </w:tcPr>
          <w:p>
            <w:pPr>
              <w:jc w:val="center"/>
              <w:ind w:right="3960"/>
              <w:spacing w:after="0"/>
              <w:rPr>
                <w:rFonts w:ascii="Arial" w:cs="Arial" w:eastAsia="Arial" w:hAnsi="Arial"/>
                <w:sz w:val="18"/>
                <w:szCs w:val="18"/>
                <w:b w:val="1"/>
                <w:bCs w:val="1"/>
                <w:color w:val="0000FF"/>
                <w:w w:val="99"/>
              </w:rPr>
            </w:pPr>
            <w:hyperlink w:anchor="page29">
              <w:r>
                <w:rPr>
                  <w:rFonts w:ascii="Arial" w:cs="Arial" w:eastAsia="Arial" w:hAnsi="Arial"/>
                  <w:sz w:val="18"/>
                  <w:szCs w:val="18"/>
                  <w:b w:val="1"/>
                  <w:bCs w:val="1"/>
                  <w:color w:val="0000FF"/>
                  <w:w w:val="99"/>
                </w:rPr>
                <w:t>PART 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7"/>
          </w:tcPr>
          <w:p>
            <w:pPr>
              <w:spacing w:after="0"/>
              <w:rPr>
                <w:rFonts w:ascii="Arial" w:cs="Arial" w:eastAsia="Arial" w:hAnsi="Arial"/>
                <w:sz w:val="18"/>
                <w:szCs w:val="18"/>
                <w:color w:val="0000FF"/>
                <w:w w:val="97"/>
              </w:rPr>
            </w:pPr>
            <w:hyperlink w:anchor="page29">
              <w:r>
                <w:rPr>
                  <w:rFonts w:ascii="Arial" w:cs="Arial" w:eastAsia="Arial" w:hAnsi="Arial"/>
                  <w:sz w:val="18"/>
                  <w:szCs w:val="18"/>
                  <w:color w:val="0000FF"/>
                  <w:w w:val="97"/>
                </w:rPr>
                <w:t>Market for Registrant's Common Equity, Related Stockholder Matters and Issuer Purchases of Equity Securities.</w:t>
              </w:r>
            </w:hyperlink>
          </w:p>
        </w:tc>
        <w:tc>
          <w:tcPr>
            <w:tcW w:w="100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760" w:type="dxa"/>
            <w:vAlign w:val="bottom"/>
            <w:gridSpan w:val="5"/>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Selected Financial Data.</w:t>
              </w:r>
            </w:hyperlink>
          </w:p>
        </w:tc>
        <w:tc>
          <w:tcPr>
            <w:tcW w:w="6340" w:type="dxa"/>
            <w:vAlign w:val="bottom"/>
            <w:gridSpan w:val="21"/>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w:t>
            </w:r>
          </w:p>
        </w:tc>
        <w:tc>
          <w:tcPr>
            <w:tcW w:w="87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100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6480" w:type="dxa"/>
            <w:vAlign w:val="bottom"/>
            <w:gridSpan w:val="2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2280" w:type="dxa"/>
            <w:vAlign w:val="bottom"/>
            <w:gridSpan w:val="4"/>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8.</w:t>
            </w:r>
          </w:p>
        </w:tc>
        <w:tc>
          <w:tcPr>
            <w:tcW w:w="3380" w:type="dxa"/>
            <w:vAlign w:val="bottom"/>
            <w:gridSpan w:val="12"/>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Financial Statements and Supplementary Data.</w:t>
              </w:r>
            </w:hyperlink>
          </w:p>
        </w:tc>
        <w:tc>
          <w:tcPr>
            <w:tcW w:w="1020" w:type="dxa"/>
            <w:vAlign w:val="bottom"/>
            <w:gridSpan w:val="5"/>
          </w:tcPr>
          <w:p>
            <w:pPr>
              <w:spacing w:after="0"/>
              <w:rPr>
                <w:sz w:val="21"/>
                <w:szCs w:val="21"/>
                <w:color w:val="auto"/>
              </w:rPr>
            </w:pPr>
          </w:p>
        </w:tc>
        <w:tc>
          <w:tcPr>
            <w:tcW w:w="4360" w:type="dxa"/>
            <w:vAlign w:val="bottom"/>
            <w:gridSpan w:val="10"/>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Changes in and Disagreements With Accountants on Accounting and Financial Disclosure.</w:t>
              </w:r>
            </w:hyperlink>
          </w:p>
        </w:tc>
        <w:tc>
          <w:tcPr>
            <w:tcW w:w="2200" w:type="dxa"/>
            <w:vAlign w:val="bottom"/>
            <w:gridSpan w:val="3"/>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1">
              <w:r>
                <w:rPr>
                  <w:rFonts w:ascii="Arial" w:cs="Arial" w:eastAsia="Arial" w:hAnsi="Arial"/>
                  <w:sz w:val="18"/>
                  <w:szCs w:val="18"/>
                  <w:color w:val="0000FF"/>
                  <w:w w:val="86"/>
                </w:rPr>
                <w:t>100</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82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101">
              <w:r>
                <w:rPr>
                  <w:rFonts w:ascii="Arial" w:cs="Arial" w:eastAsia="Arial" w:hAnsi="Arial"/>
                  <w:sz w:val="18"/>
                  <w:szCs w:val="18"/>
                  <w:color w:val="0000FF"/>
                  <w:w w:val="88"/>
                </w:rPr>
                <w:t>Controls and Procedures.</w:t>
              </w:r>
            </w:hyperlink>
          </w:p>
        </w:tc>
        <w:tc>
          <w:tcPr>
            <w:tcW w:w="6940" w:type="dxa"/>
            <w:vAlign w:val="bottom"/>
            <w:gridSpan w:val="21"/>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1">
              <w:r>
                <w:rPr>
                  <w:rFonts w:ascii="Arial" w:cs="Arial" w:eastAsia="Arial" w:hAnsi="Arial"/>
                  <w:sz w:val="18"/>
                  <w:szCs w:val="18"/>
                  <w:color w:val="0000FF"/>
                  <w:w w:val="86"/>
                </w:rPr>
                <w:t>100</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8760" w:type="dxa"/>
            <w:vAlign w:val="bottom"/>
            <w:gridSpan w:val="27"/>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Other Information.</w:t>
              </w:r>
            </w:hyperlink>
          </w:p>
        </w:tc>
        <w:tc>
          <w:tcPr>
            <w:tcW w:w="1000" w:type="dxa"/>
            <w:vAlign w:val="bottom"/>
            <w:gridSpan w:val="4"/>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101</w:t>
              </w:r>
            </w:hyperlink>
          </w:p>
        </w:tc>
      </w:tr>
      <w:tr>
        <w:trPr>
          <w:trHeight w:val="466"/>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390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41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Directors, Executive Officers and Corporate Governance.</w:t>
              </w:r>
            </w:hyperlink>
          </w:p>
        </w:tc>
        <w:tc>
          <w:tcPr>
            <w:tcW w:w="4600" w:type="dxa"/>
            <w:vAlign w:val="bottom"/>
            <w:gridSpan w:val="12"/>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101</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Executive Compensation.</w:t>
              </w:r>
            </w:hyperlink>
          </w:p>
        </w:tc>
        <w:tc>
          <w:tcPr>
            <w:tcW w:w="6900" w:type="dxa"/>
            <w:vAlign w:val="bottom"/>
            <w:gridSpan w:val="20"/>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101</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734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103">
              <w:r>
                <w:rPr>
                  <w:rFonts w:ascii="Arial" w:cs="Arial" w:eastAsia="Arial" w:hAnsi="Arial"/>
                  <w:sz w:val="18"/>
                  <w:szCs w:val="18"/>
                  <w:color w:val="0000FF"/>
                  <w:w w:val="90"/>
                </w:rPr>
                <w:t>Security Ownership of Certain Beneficial Owners and Management and Related Stockholder Matters.</w:t>
              </w:r>
            </w:hyperlink>
          </w:p>
        </w:tc>
        <w:tc>
          <w:tcPr>
            <w:tcW w:w="142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3">
              <w:r>
                <w:rPr>
                  <w:rFonts w:ascii="Arial" w:cs="Arial" w:eastAsia="Arial" w:hAnsi="Arial"/>
                  <w:sz w:val="18"/>
                  <w:szCs w:val="18"/>
                  <w:color w:val="0000FF"/>
                  <w:w w:val="86"/>
                </w:rPr>
                <w:t>102</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500" w:type="dxa"/>
            <w:vAlign w:val="bottom"/>
            <w:tcBorders>
              <w:bottom w:val="single" w:sz="8" w:color="0000FF"/>
            </w:tcBorders>
            <w:gridSpan w:val="22"/>
          </w:tcPr>
          <w:p>
            <w:pPr>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Certain Relationships and Related Transactions, and Director Independence.</w:t>
              </w:r>
            </w:hyperlink>
          </w:p>
        </w:tc>
        <w:tc>
          <w:tcPr>
            <w:tcW w:w="3260" w:type="dxa"/>
            <w:vAlign w:val="bottom"/>
            <w:gridSpan w:val="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03">
              <w:r>
                <w:rPr>
                  <w:rFonts w:ascii="Arial" w:cs="Arial" w:eastAsia="Arial" w:hAnsi="Arial"/>
                  <w:sz w:val="18"/>
                  <w:szCs w:val="18"/>
                  <w:color w:val="0000FF"/>
                  <w:w w:val="86"/>
                </w:rPr>
                <w:t>102</w:t>
              </w:r>
            </w:hyperlink>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8760" w:type="dxa"/>
            <w:vAlign w:val="bottom"/>
            <w:gridSpan w:val="27"/>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Principal Accounting Fees and Services.</w:t>
              </w:r>
            </w:hyperlink>
          </w:p>
        </w:tc>
        <w:tc>
          <w:tcPr>
            <w:tcW w:w="1000" w:type="dxa"/>
            <w:vAlign w:val="bottom"/>
            <w:gridSpan w:val="4"/>
          </w:tcPr>
          <w:p>
            <w:pPr>
              <w:jc w:val="right"/>
              <w:spacing w:after="0"/>
              <w:rPr>
                <w:rFonts w:ascii="Arial" w:cs="Arial" w:eastAsia="Arial" w:hAnsi="Arial"/>
                <w:sz w:val="18"/>
                <w:szCs w:val="18"/>
                <w:color w:val="0000FF"/>
              </w:rPr>
            </w:pPr>
            <w:hyperlink w:anchor="page104">
              <w:r>
                <w:rPr>
                  <w:rFonts w:ascii="Arial" w:cs="Arial" w:eastAsia="Arial" w:hAnsi="Arial"/>
                  <w:sz w:val="18"/>
                  <w:szCs w:val="18"/>
                  <w:color w:val="0000FF"/>
                </w:rPr>
                <w:t>103</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40" w:type="dxa"/>
            <w:vAlign w:val="bottom"/>
            <w:gridSpan w:val="14"/>
          </w:tcPr>
          <w:p>
            <w:pPr>
              <w:jc w:val="center"/>
              <w:ind w:right="3920"/>
              <w:spacing w:after="0"/>
              <w:rPr>
                <w:rFonts w:ascii="Arial" w:cs="Arial" w:eastAsia="Arial" w:hAnsi="Arial"/>
                <w:sz w:val="18"/>
                <w:szCs w:val="18"/>
                <w:b w:val="1"/>
                <w:bCs w:val="1"/>
                <w:color w:val="0000FF"/>
              </w:rPr>
            </w:pPr>
            <w:hyperlink w:anchor="page104">
              <w:r>
                <w:rPr>
                  <w:rFonts w:ascii="Arial" w:cs="Arial" w:eastAsia="Arial" w:hAnsi="Arial"/>
                  <w:sz w:val="18"/>
                  <w:szCs w:val="18"/>
                  <w:b w:val="1"/>
                  <w:bCs w:val="1"/>
                  <w:color w:val="0000FF"/>
                </w:rPr>
                <w:t>PART IV</w:t>
              </w:r>
            </w:hyperlink>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4140" w:type="dxa"/>
            <w:vAlign w:val="bottom"/>
            <w:gridSpan w:val="14"/>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Exhibits, Financial Statement Schedules.</w:t>
              </w:r>
            </w:hyperlink>
          </w:p>
        </w:tc>
        <w:tc>
          <w:tcPr>
            <w:tcW w:w="700" w:type="dxa"/>
            <w:vAlign w:val="bottom"/>
            <w:tcBorders>
              <w:top w:val="single" w:sz="8" w:color="0000FF"/>
            </w:tcBorders>
            <w:gridSpan w:val="6"/>
          </w:tcPr>
          <w:p>
            <w:pPr>
              <w:spacing w:after="0"/>
              <w:rPr>
                <w:sz w:val="24"/>
                <w:szCs w:val="24"/>
                <w:color w:val="auto"/>
              </w:rPr>
            </w:pPr>
          </w:p>
        </w:tc>
        <w:tc>
          <w:tcPr>
            <w:tcW w:w="3920" w:type="dxa"/>
            <w:vAlign w:val="bottom"/>
            <w:gridSpan w:val="7"/>
          </w:tcPr>
          <w:p>
            <w:pPr>
              <w:spacing w:after="0"/>
              <w:rPr>
                <w:sz w:val="24"/>
                <w:szCs w:val="24"/>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04">
              <w:r>
                <w:rPr>
                  <w:rFonts w:ascii="Arial" w:cs="Arial" w:eastAsia="Arial" w:hAnsi="Arial"/>
                  <w:sz w:val="18"/>
                  <w:szCs w:val="18"/>
                  <w:color w:val="0000FF"/>
                </w:rPr>
                <w:t>103</w:t>
              </w:r>
            </w:hyperlink>
          </w:p>
        </w:tc>
      </w:tr>
      <w:tr>
        <w:trPr>
          <w:trHeight w:val="547"/>
        </w:trPr>
        <w:tc>
          <w:tcPr>
            <w:tcW w:w="800" w:type="dxa"/>
            <w:vAlign w:val="bottom"/>
            <w:tcBorders>
              <w:bottom w:val="single" w:sz="8" w:color="0000FF"/>
            </w:tcBorders>
          </w:tcPr>
          <w:p>
            <w:pPr>
              <w:spacing w:after="0"/>
              <w:rPr>
                <w:rFonts w:ascii="Arial" w:cs="Arial" w:eastAsia="Arial" w:hAnsi="Arial"/>
                <w:sz w:val="18"/>
                <w:szCs w:val="18"/>
                <w:color w:val="0000FF"/>
                <w:w w:val="85"/>
              </w:rPr>
            </w:pPr>
            <w:hyperlink w:anchor="page105">
              <w:r>
                <w:rPr>
                  <w:rFonts w:ascii="Arial" w:cs="Arial" w:eastAsia="Arial" w:hAnsi="Arial"/>
                  <w:sz w:val="18"/>
                  <w:szCs w:val="18"/>
                  <w:color w:val="0000FF"/>
                  <w:w w:val="85"/>
                </w:rPr>
                <w:t>Signatures.</w:t>
              </w:r>
            </w:hyperlink>
          </w:p>
        </w:tc>
        <w:tc>
          <w:tcPr>
            <w:tcW w:w="800" w:type="dxa"/>
            <w:vAlign w:val="bottom"/>
            <w:gridSpan w:val="2"/>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r>
      <w:tr>
        <w:trPr>
          <w:trHeight w:val="250"/>
        </w:trPr>
        <w:tc>
          <w:tcPr>
            <w:tcW w:w="1600" w:type="dxa"/>
            <w:vAlign w:val="bottom"/>
            <w:gridSpan w:val="3"/>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Exhibit Index.</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07">
              <w:r>
                <w:rPr>
                  <w:rFonts w:ascii="Arial" w:cs="Arial" w:eastAsia="Arial" w:hAnsi="Arial"/>
                  <w:sz w:val="18"/>
                  <w:szCs w:val="18"/>
                  <w:color w:val="0000FF"/>
                </w:rPr>
                <w:t>106</w:t>
              </w:r>
            </w:hyperlink>
          </w:p>
        </w:tc>
      </w:tr>
      <w:tr>
        <w:trPr>
          <w:trHeight w:val="507"/>
        </w:trPr>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140" w:type="dxa"/>
            <w:vAlign w:val="bottom"/>
            <w:gridSpan w:val="14"/>
          </w:tcPr>
          <w:p>
            <w:pPr>
              <w:ind w:left="402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report includes "forward-looking statements" within the meaning of the safe harbor provisions of the Private Securities Litigation Reform Act of 1995, including but not limited to certain disclosures contained in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the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the federal securities laws.</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included in this report,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use a 52- or 53-week fiscal year ending on the Saturday closest to March 31 of each year. Fiscal 2016 was a 53-week year and fiscal years 2015 and 2014 were 52-week years. Our other fiscal quarters end on the Saturday closest to June 30, September 30 and December 31 of each year.</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(the "Business Combination") under a new holding company named Qorvo, Inc. (the “Company” or “Qorvo”). The transactions contemplated by the Merger Agreement were consummated on January 1, 2015. For financial reporting and accounting purposes, RFMD was the acquirer of TriQuint in the Business Combination. Unless otherwise noted, “we,” “our” or “us” in this report refers to RFMD and its subsidiaries, on a consolidated basis, prior to the closing of the Business Combination and to Qorvo and its subsidiaries, on a consolidated basis, after the closing of the Business Combination.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more information concerning the Business Combination, see Note 5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Qorvo® is a leading provider of technologies and solutions that address the growing demand for always-on, high reliability, broadband data connectivity. We combine one of the industry’s broadest portfolios of radio frequency (“RF”) solutions and semiconductor technologies with deep systems-level expertise and scale manufacturing capabilities to enable a diverse set of cutting-edge customer products, including smartphones, tablets, wearables, broadband customer premise equipment, home automation, in-vehicle infotainment, data center and military radar and communications. Our products are helping to drive the ongoing, rapid transformation of how people around the world interact with their communities, access and use data, and transact commerce.</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more than 7,300 global employees dedicated to delivering solutions for everything that connects the world. We have world-class ISO-certified manufacturing facilities, and our Richardson, Texas facility is a U.S. Department of Defense (“DoD”)-accredited ‘Trusted Source’ (Category 1A) for gallium arsenide (“GaAs”), gallium nitride (“GaN”) and bulk acoustic wave (“BAW”) technologies, products and services. Our design and manufacturing expertise encompasses many semiconductor process technologies, which we source both internally and through external suppliers. We operate worldwide with design, sales and manufacturing facilities located throughout Asia, Europe and North America. Our primary manufacturing facilities are located in North Carolina, Oregon, Texas and Florida, and our primary assembly and test facilities are located in China, Costa Rica and Texas.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Qorvo was incorporated in Delaware in 2013. We maintain dual principal executive offices, which are located at 7628 Thorndike Road, Greensboro, North Carolina 27409 and at 2300 NE Brookwood Parkway, Hillsboro, Oregon 97124. Our telephone numbers at these locations are (336) 664-1233 and (503) 615-9000,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160" w:hanging="332"/>
        <w:spacing w:after="0" w:line="272"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Mobile Products (MP) </w:t>
      </w:r>
      <w:r>
        <w:rPr>
          <w:rFonts w:ascii="Arial" w:cs="Arial" w:eastAsia="Arial" w:hAnsi="Arial"/>
          <w:sz w:val="17"/>
          <w:szCs w:val="17"/>
          <w:color w:val="auto"/>
        </w:rPr>
        <w:t>- MP is a leading global supplier of RF solutions that perform various functions in the increasingly complex cellular radio front</w:t>
      </w:r>
      <w:r>
        <w:rPr>
          <w:rFonts w:ascii="Arial" w:cs="Arial" w:eastAsia="Arial" w:hAnsi="Arial"/>
          <w:sz w:val="17"/>
          <w:szCs w:val="17"/>
          <w:i w:val="1"/>
          <w:iCs w:val="1"/>
          <w:color w:val="auto"/>
        </w:rPr>
        <w:t xml:space="preserve"> </w:t>
      </w:r>
      <w:r>
        <w:rPr>
          <w:rFonts w:ascii="Arial" w:cs="Arial" w:eastAsia="Arial" w:hAnsi="Arial"/>
          <w:sz w:val="17"/>
          <w:szCs w:val="17"/>
          <w:color w:val="auto"/>
        </w:rPr>
        <w:t>end section of smartphones and other cellular devices. These RF solutions are required in fourth generation (“4G”) data-centric devices operating under Long-Term Evolution (“LTE”) 4G networks, as well as third generation (“3G”) and second generation (“2G”) mobile devices. Our solutions include complete RF front end modules that combine high-performance filters, power amplifiers (“PAs”), low noise amplifiers (“LNAs”) and switches, PA modules, transmit modules, antenna control solutions, antenna switch modules, diversity receive modules and envelope tracking (“ET”) power management devices. MP supplies its broad portfolio of RF solutions into a variety of mobile devices, including smartphones, notebook computers, wearables, tablets and cellular-based applications for the Internet of Things (“IoT”).</w:t>
      </w:r>
    </w:p>
    <w:p>
      <w:pPr>
        <w:spacing w:after="0" w:line="177" w:lineRule="exact"/>
        <w:rPr>
          <w:rFonts w:ascii="Arial" w:cs="Arial" w:eastAsia="Arial" w:hAnsi="Arial"/>
          <w:sz w:val="17"/>
          <w:szCs w:val="17"/>
          <w:color w:val="auto"/>
        </w:rPr>
      </w:pPr>
    </w:p>
    <w:p>
      <w:pPr>
        <w:ind w:left="340" w:right="20" w:hanging="332"/>
        <w:spacing w:after="0" w:line="271"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that support diverse global applications,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ubiquitous high-speed network connectivity to the cloud, data center communications, rapid internet connectivity throughout the home and workplace, and upgraded military capabilities across the globe. Qorvo’s RF solutions enhance performance and reduce complexity in cellular base stations, optical long haul, data center and metro networks, WiFi networks, cable networks, and emerging fifth generation (“5G”) wireless networks. Our IDP products include high power GaAs and GaN PAs, LNAs, switches, RF filter solutions, CMOS system-on-a-chip (“SoC”) solutions and various multichip and hybrid assemblies. Our market-leading RF solutions for defense and aerospace upgrade communications and radar systems for air, land and sea. Our RF solutions for the IoT enable the connected car and an array of industrial applications, and we serve the home automation market with SoC solutions based on ZigBee and Bluetooth Smart technologies.</w:t>
      </w:r>
    </w:p>
    <w:p>
      <w:pPr>
        <w:spacing w:after="0" w:line="17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Business Combination, in the fourth quarter of fiscal 2015, we renamed our Cellular Products Group operating segment as MP and our Multi-Market Products Group operating segment as IDP. For financial information about the results of our operating segments for each of the last three fiscal years, see Note 15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is diversified across multiple industries. The cellular handset industry is our largest market and is characterized by large unit volumes, frequent product mix shift, high technical barriers to entry and relatively short product lifecycles.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satisfy the growing global demand for always-on, high data-throughput connectivity, cellular handsets are transitioning rapidly from entry level 2G and 3G handsets to 4G LTE devices. These 4G devices incorporate new cellular bands and modes to enable more geographic coverage, including “global” phones that are not limited to specific regions or carriers. Additionally, 4G LTE devices are beginning to incorporate carrier aggregation to allow simultaneous communication over multiple frequency bands and to provide consumers with a more satisfying, higher data-throughput experience while helping network operators maximize spectral efficiency and better monetize their costly spectrum investments. Because 4G LTE devices often contain two to five times more RF content than 3G phones, the market for our RF components has been expanding in recent years. We believe these trends will continue as consumers continue to demand greater data throughput and as smartphone manufacturers and network operators seek to improve the performance of 4G LTE devices to attract and retain customers and enhance revenue.</w:t>
      </w:r>
    </w:p>
    <w:p>
      <w:pPr>
        <w:spacing w:after="0" w:line="1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rapid proliferation of the IoT is also driving the growth in demand for RF content for new classes of devices, including systems for connected homes, energy management systems and a variety of health, fitness and medical devices, which use wireless connectivity to transmit data obtained from embedded sensors, meters, controllers and other components. As part of this phenomena, machine-to-machine (“M2M”) devices are increasingly integrating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WiFi and cellular content for a growing number of applications, including automotive, electric and water utilities, fleet management and point-of-sale.</w:t>
      </w:r>
    </w:p>
    <w:p>
      <w:pPr>
        <w:spacing w:after="0" w:line="23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cellular infrastructure, network operators are rapidly building out their 4G LTE networks to handle more data traffic, which increases the requirements for more and faster wireless backhaul systems, including upgrading transport capacity through microwave point-to-point radio and optical network links. In addition, to increase network coverage and capacity and ease the strain from skyrocketing mobile data traffic on congested cellular networks, the cellular infrastructure market is turning to WiFi offload strategies, including public access WiFi hotspots, and utilizing new architectures with small cell base stations such as micro cells, pico cells, and femtocells. The RF content in premises-based devices and distribution networks is increasing due to higher capacity requirements achieved through enabling increased bandwidth capability, typically at higher frequencies of operation.</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our CATV and optical network wireline transport markets, the rapid explosion of consumer and business data transmission, whether from high definition television (“HDTV”), Internet protocol television (“IPTV”), and voice over Internet protocol (“VoIP”), as well as the associated increases in Internet traffic in data centers, are driving market growth and placing increased emphasis on product performance, integration and power consumption. The adoption of DOCSIS 3.1 is accelerating and driving our CATV business. Additionally, the ever-increasing performance demands for telecom, data centers and metro networks continue to drive our optical business. Both markets are equally concerned about increasing capacity and speed, while decreasing costs and power consumption.</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Defense and aerospace markets rely on dependable microwave monolithic integrated circuits ("MMICs") and discrete transistors in die-level and packaged forms, as well as surface acoustic wave ("SAW") and bulk acoustic wave ("BAW") filters. The global defense and aerospace industry that we serve is focused on balancing cost, performance and power consumption and is serviced through both commercial off-the-shelf products and custom devices for the most stringent applications that support the next generation of communication, defense and national security capabilities.</w:t>
      </w:r>
    </w:p>
    <w:p>
      <w:pPr>
        <w:spacing w:after="0" w:line="17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connectivity markets, we are focused on delivering world-class products that address the higher performance requirements of 802.11ac and the proliferation of WiFi in mobile devices such as tablets and notebook computers and non-mobile equipment, including routers, access points, set-top boxes, automobiles and televisions. In these same markets, we enable interference-free reception and transmission through our premium filter products.</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Across our customers’ diversified industries, their end-market products continue to increase in complexity and RF content, while wireless connectivity becomes a ubiquitous requirement of the IoT. This is expanding our addressable market and increasing our opportunities to deliver more highly integrated, higher value solutions. At the same time, we are leveraging our core capabilities, including scale manufacturing, advanced packaging capabilities and deep systems-level integration expertise, to target a greater number of applications and market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Mission and Strategy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focused on profitable growth and diversification through technology and product leadership. Our long-term strategy to drive Qorvo’s growth and create stockholder value is underpinned by three principles: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Using differentiated technologies and product leadership to achieve operational excellence, capture value, and deliver superior financial results;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the integration of our two predecessor companies to achieve as Qorvo what neither could achieve alone; and</w:t>
      </w:r>
    </w:p>
    <w:p>
      <w:pPr>
        <w:spacing w:after="0" w:line="9" w:lineRule="exact"/>
        <w:rPr>
          <w:rFonts w:ascii="Arial" w:cs="Arial" w:eastAsia="Arial" w:hAnsi="Arial"/>
          <w:sz w:val="18"/>
          <w:szCs w:val="18"/>
          <w:color w:val="auto"/>
        </w:rPr>
      </w:pPr>
    </w:p>
    <w:p>
      <w:pPr>
        <w:ind w:left="660" w:right="46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Prioritizing the use of our cash and capital resources on investments that drive the growth of our business, returning capital to our stockholders through share repurchases on an opportunistic basis, and selective mergers and acquisitions to supplement the growth of IDP.</w:t>
      </w:r>
    </w:p>
    <w:p>
      <w:pPr>
        <w:spacing w:after="0" w:line="1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serve diverse high-growth segments of large global markets, including advanced wireless devices, wired and wireless networks and defense radar and communications. Within these segments, we leverage our industry-leading portfolio of RF solutions and technologies to provide leading customers a broad set of cutting-edge products and applications, including smartphones, wearables, connected home, connected car, and military radar and communications. We also leverage our unique competitive strengths to advance 5G networks, cloud computing, the IoT, and other emerging applications that expand the global framework interconnecting people, places and things. We combine product and technology leadership, systems-level expertise and global manufacturing scale to quickly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30"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solve our customers' most complex technical challenges. We are aligned with the leading customers in our targeted industries, and we are increasing the pace and scope of our new product development to meet emerging trends in our customers’ diversified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product leadership</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MP's end markets, we leverage our systems-level expertise, manufacturing scale and industry-leading product and technology portfolio to simplify RF complexity, miniaturize product footprint, enhance product performance and enable a faster time to market for our customers. Qorvo is uniquely positioned to deliver a complete portfolio of multimode, multiband solutions combining high-performance filters, PAs, LNAs and switches in highly integrated, high-performance multi-chip modules. We are also a worldwide leader in high-performance, high-throw count switching solutions and antenna control systems, and we invest in the most advanced process technologies and design techniques to continue to advance the state of the art in these product categories.</w:t>
      </w:r>
    </w:p>
    <w:p>
      <w:pPr>
        <w:spacing w:after="0" w:line="1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IDP's end markets, our advanced technologies and design capabilities are sought by industry-leading customers in large global markets, including 4G LTE and 5G base stations, optical networks, WiFi access points networks, connected automobile and home applications, defense communications applications, and domestic and international airborne, land and sea radar systems. Our highly integrated RF solutions leverage our differentiated, internally developed process technologies as well as leading externally-sourced process technologies. We have the broadest portfolio of GaAs and GaN fabrication processes in the RF industry, which allows us to address market needs ranging in frequency from sub-gigahertz through 100 gigahertz, with THB-compliant products and advanced low-cost packaging concepts. Additionally, we offer high-performance SoC design, firmware and application software, and we have advanced internal design expertise across outsourced process technologies including silicon germanium (“SiGe”), indium phosphide (“InP”), CMOS and silicon-on-insulator (“SOI”).</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continue to invest in expanding our R&amp;D and hiring the best and brightest talent. These strategies enable us to serve an array of growing markets with a diversified product portfolio within the communications and defense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Partnering with our customers</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committed to establishing close relationships with the leading customers in the industries we serve to drive our business and growth. We enjoy long-standing, deep institutional relationships with the leading smartphone and tablet manufacturers, network and consumer premises equipment manufacturers and reference design partners. These best-in-class customers and partners collectively have built and are expanding and developing the world's 4G, 5G and other broadband communications networks. We emphasize developing intimate technical engagements with our key customers to align our research and development (“R&amp;D”) efforts with their long-term product development roadmaps. In doing so, we focus on overall systems level requirements and solutions that address the increasing complexity of mobile devices and networks and the demands of carriers. These qualities have collectively made us a provider of choice for mobile products and advanced network infrastructure RF systems.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Similarly, our defense and aerospace customers include the leading tier one defense subcontractors to the U.S. government. We are also a Microelectronics Trusted Source accredited by the U.S. DoD for foundry, post-processing, packaging, assembly and test services and in 2014, we were recognized by the DoD as the first GaN supplier to achieve Manufacturing Readiness Level (“MRL”) 9 based on passing criteria that assesses readiness for full scale production of GaN devices.</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deliver trusted applications support and dedicated service to our customers. We also offer a variety of packaging, assembly and test options to meet our customers' performance needs and our global sales and distribution teams offer local support to help ensure on-going customer satisfaction.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product development</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develop and launch hundreds of new products each year to expand our presence in existing and new markets and diversify our revenue base. We have systemized our product development process to streamline product development cycle times and our business units focus their efforts on the development and release of market-leading new products.</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partnering with our customers, we have established and maintain close working relationships with other industry leaders in our target markets, including university faculty, industry bodies, channel partners and other thought leaders. We also have existing connections, and seek to establish new, strategic investments and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relationships, with emerging companies that provide access to new technologies, products and markets. These relationships are critical to providing us with insights into future customer requirements and industry trends, which facilitate the timely development of new products to meet the changing needs of the marketplace.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management and board of directors regularly consider our strategic options in light of our company-specific conditions and industry conditions and trends, including whether acquisitions, dispositions or other potential transactions offer meaningful opportunities to enhance stockholder value. This includes opportunities to expand the breadth and depth of our product offerings and to diversify our overall business through the acquisition of product lines, business units and companies, both large and small.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 Products and Applications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offer a broad array of amplification, filtering and switching products for RF, microwave and millimeter-wave applications. We utilize specialized substrate materials and high-performance process technologies such as GaAs, GaN, SOI, pseudomorphic high electron mobility transistors (“pHEMT”), BAW and SiGe. We believe many of our products offer key advantages relative to competing devices, including steeper selectivity, improved linearity, lower distortion, higher output power and power-added efficiency, as well as reduced size and weight, and more precise frequency control. Our broad range of standard and customer-specific integrated circuits (“ICs”), components and modules, in addition to SAW, TC-SAW and BAW duplexers and filters, combined with our manufacturing and design capabilities, allow customers to select the specific product solution that best fulfills their technical and time-to-market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focus on four broader end markets: mobile products; high speed network connectivity; defense; and the IoT.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Products</w:t>
      </w:r>
    </w:p>
    <w:p>
      <w:pPr>
        <w:spacing w:after="0" w:line="2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demand for RF solutions in mobile products is accelerating with the increasing demand for enhanced voice and data communication capabilities. Consumers want mobile devices to provide signal quality similar to wired communication systems, to be smaller and lighter, to dissipate less heat, to accommodate longer talk and standby time and to feature energy-consuming functionality such as larger screens, streaming media, digital cameras, video recorders, global positioning systems (“GPS”), Bluetooth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connectivity and internet access. The most significant trend today in the mobile devices market is the proliferation of 4G LTE devices that work across multiple standards and frequency bands enabling multi-region access and coverage. This is expanding the overall dollar content in an average smartphone by two to five times compared to a traditional voice-only phone.</w:t>
      </w:r>
    </w:p>
    <w:p>
      <w:pPr>
        <w:spacing w:after="0" w:line="1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associated increase in wireless data traffic creates congestion on network operators’ assigned frequency bands, limiting their network capacity. Because network operators spend billions of dollars on frequency spectrum, this places a premium on smartphones with greater RF functionality to enable increased capacity. Concurrently, new wireless communications standards and new technologies are being deployed to more efficiently utilize the available spectrum. This increases the complexity of smartphones and heightens the performance requirements, especially for filtering, which in turn favors Qorvo’s broad product portfolio and our technology and product leadership strategy.</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Qorvo’s comprehensive mobile product portfolio includes our high-performance </w:t>
      </w:r>
      <w:r>
        <w:rPr>
          <w:rFonts w:ascii="Arial" w:cs="Arial" w:eastAsia="Arial" w:hAnsi="Arial"/>
          <w:sz w:val="16"/>
          <w:szCs w:val="16"/>
          <w:i w:val="1"/>
          <w:iCs w:val="1"/>
          <w:color w:val="auto"/>
        </w:rPr>
        <w:t>RF Fusion™</w:t>
      </w:r>
      <w:r>
        <w:rPr>
          <w:rFonts w:ascii="Arial" w:cs="Arial" w:eastAsia="Arial" w:hAnsi="Arial"/>
          <w:sz w:val="16"/>
          <w:szCs w:val="16"/>
          <w:color w:val="auto"/>
        </w:rPr>
        <w:t xml:space="preserve"> line of integrated RF solutions. </w:t>
      </w:r>
      <w:r>
        <w:rPr>
          <w:rFonts w:ascii="Arial" w:cs="Arial" w:eastAsia="Arial" w:hAnsi="Arial"/>
          <w:sz w:val="16"/>
          <w:szCs w:val="16"/>
          <w:i w:val="1"/>
          <w:iCs w:val="1"/>
          <w:color w:val="auto"/>
        </w:rPr>
        <w:t>RF Fusion™</w:t>
      </w:r>
      <w:r>
        <w:rPr>
          <w:rFonts w:ascii="Arial" w:cs="Arial" w:eastAsia="Arial" w:hAnsi="Arial"/>
          <w:sz w:val="16"/>
          <w:szCs w:val="16"/>
          <w:color w:val="auto"/>
        </w:rPr>
        <w:t xml:space="preserve"> leverages Qorvo’s RF product portfolio, advanced packaging and process technologies, and deep systems-level expertise to integrate all major transmit and receive RF functionality into highly integrated low-band, mid-band, and high-band placements. We also offer </w:t>
      </w:r>
      <w:r>
        <w:rPr>
          <w:rFonts w:ascii="Arial" w:cs="Arial" w:eastAsia="Arial" w:hAnsi="Arial"/>
          <w:sz w:val="16"/>
          <w:szCs w:val="16"/>
          <w:i w:val="1"/>
          <w:iCs w:val="1"/>
          <w:color w:val="auto"/>
        </w:rPr>
        <w:t>RF Flex™</w:t>
      </w:r>
      <w:r>
        <w:rPr>
          <w:rFonts w:ascii="Arial" w:cs="Arial" w:eastAsia="Arial" w:hAnsi="Arial"/>
          <w:sz w:val="16"/>
          <w:szCs w:val="16"/>
          <w:color w:val="auto"/>
        </w:rPr>
        <w:t xml:space="preserve"> modules, which leverage our deep systems-level expertise to integrate core cellular transmit and receive functionality into high-performance multiband PA modules and transmit modules. Our </w:t>
      </w:r>
      <w:r>
        <w:rPr>
          <w:rFonts w:ascii="Arial" w:cs="Arial" w:eastAsia="Arial" w:hAnsi="Arial"/>
          <w:sz w:val="16"/>
          <w:szCs w:val="16"/>
          <w:i w:val="1"/>
          <w:iCs w:val="1"/>
          <w:color w:val="auto"/>
        </w:rPr>
        <w:t>RF Flex</w:t>
      </w:r>
      <w:r>
        <w:rPr>
          <w:rFonts w:ascii="Arial" w:cs="Arial" w:eastAsia="Arial" w:hAnsi="Arial"/>
          <w:sz w:val="16"/>
          <w:szCs w:val="16"/>
          <w:color w:val="auto"/>
        </w:rPr>
        <w:t xml:space="preserve"> solutions deliver world-class performance and enable carrier aggregation in the industry’s most flexible, scalable and cost-effective LTE architectures. Other products include filters, duplexers, switches, transmit modules, modules incorporating switches, PAs and duplexers (“S-PADs”), RF power management ICs, diversity receive modules, antenna switch modules, antenna tuning and control solutions, multimode, multi-band PAs, and other advanced products.</w:t>
      </w:r>
    </w:p>
    <w:p>
      <w:pPr>
        <w:spacing w:after="0" w:line="16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access to various process technologies, such as GaAs, SiGe, SOI and other silicon variants, SAW, TC-SAW and BAW provides our mobile device designers with flexibility to address our customers’ requirements for low noise, better signal processing in congested bands, greater power efficiency for longer battery life, and low loss switching.</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Historically, we have experienced seasonal fluctuations in our sales of mobile products. Our revenue is generally the strongest in the second and third fiscal quarters and weakest in the fourth fiscal quarter of each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Speed Network Connectivity</w:t>
      </w:r>
    </w:p>
    <w:p>
      <w:pPr>
        <w:spacing w:after="0" w:line="5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sell products that support the transfer of voice, video and data across wireless and wired infrastructure. The increasing demand for applications, services and the associated high-speed data for smartphones, tablets, computers and TVs is driving a dramatic evolution in the infrastructure that carries this data. This translates to requirements for systems and components with higher frequency, broader bandwidth, greater linearity, lower power consumption and smaller size. To reduce operator complexity and capital investment, systems need to cover multiple bands and modulation standards, without increasing size or cost.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the high speed networks end market target three main applications:</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Transport, which includes wireless and wired broadband networks infrastructure for CATV, fiber-to-the-home, and optical transport networks;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 Station, which comprises 2G, 3G, 4G LTE, 5G and multi-carrier, multi-standard base stations and small cells; and</w:t>
      </w:r>
    </w:p>
    <w:p>
      <w:pPr>
        <w:spacing w:after="0" w:line="225"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Connectivity, such as enterprise and high-end consumer WiFi access points and connected automobile applications such as LTE, satellite radio and infotainment.</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offer a broad range of products for these applications, including low-noise, variable-gain, driver and power amplifiers, single and dual band wireless local area network ("WLAN") modules, digital and analog attenuators, voltage-controlled oscillators (“VCO”s), switches, SAW filters, BAW filters, and multi-chip modules that integrate multiple functions.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use our unique GaAs, GaN, SAW and BAW processes combined with innovative design and packaging to differentiate our products. For example, in base station applications, our GaAs HBT amplifiers offer differentiated low noise performance, while our GaN amplifiers offer high linearity and efficiency with high output power and low power consumption. In optical transport networks infrastructure, our modulator drivers provide a wide output voltage swing, low jitter and high fidelity electrical “eye” performance for 40 and 100 gigabits per second networks.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utilize our process and assembly technologies to achieve superior performance and integrate RF functionality at both the integrated circuit and multi-chip module levels. The range of process technologies we can draw upon spans from 100 megahertz to 100 gigahertz, low noise to high power. As an example, our high-voltage HBT and GaN processes provide two options for addressing very high power, high efficiency and high linearity applications. Our multi-chip modules utilize our high-volume assembly capabilities used in the manufacturing of our products for the mobile devices end market to achieve low cost and high quality for infrastructure applications.</w:t>
      </w:r>
    </w:p>
    <w:p>
      <w:pPr>
        <w:spacing w:after="0" w:line="18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We sell amplifier and RF filtering products for a number of applications that enable wireless connectivity, including WiFi used in consumer premises equipment and enterprise wireless access points and automotive satellite radio, LTE and infotainment applications.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largest customers in the defense and aerospace end markets are military contractors serving the U.S. government. These prime contractors and subcontractors use our die-level integrated circuits and discrete components, MMICs and multi-chip modules for radar, electronic warfare and communications systems. These programs include major shipboard, airborne and battlefield radar systems as well as communications and electronic warfare applications. Our products are used in large-scale programs with long lead-times. Once a component has been designed into an end-use product for a military application, the same component is generally used during the entire production life of the end-use product.</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products utilized in radars are bringing new capabilities to detect and neutralize threats against aircrews, shipboard and infantry defense forces around the globe. We are actively engaged with existing customers while seeking greater emerging application opportunities. For example, our legacy of phased array radar experience with domestic airborne fighter platforms has led to ongoing work in the multi-national next generation platforms. In addition, we expect our products to be used in retrofits that upgrade the radars and other systems for the existing domestic fleet of fighter aircraft.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capability to track multiple targets simultaneously is one of the key enhancements found in the new generation of fighter jets. We are teamed with contractors in new programs to bring this type of capability to our defense customers, and we also are engaged in retrofits of other tactical fighter jet programs. Our microwave PAs provide the capability to transmit the power that is at the heart of phased array radar operation. These radars consist of large element arrays composed of many individual integrated circuits. In addition to supplying components for airborne and ground-based phased array radars, we are engaged with prime defense contractors in the continuing development and production of radars for shipboard applications. In the military communications field, we supply filters, amplifiers and other components for hand-held and satellite communications systems. In addition, we use our packaging and integrated assembly expertise to speed designs, facilitate multi-chip package evolution and deliver cost-effective solutions for all types of customer needs.</w:t>
      </w:r>
    </w:p>
    <w:p>
      <w:pPr>
        <w:spacing w:after="0" w:line="1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DoD accreditation as a Microelectronics Trusted Source is an assurance that our processes and procedures meet stringent quality and security controls, which can permit increased levels of high security/classified application specific integrated circuit foundry services. Through accreditation, we join a small group of GaAs suppliers certified by the DoD as able to fabricate and deliver devices for applications using standards approved and monitored by the Defense Microelectronics Activity. We have also been certified by the DoD as having Manufacturing Readiness Level 9 for our GaN fabrication capabilities, which certifies us as having the necessary systems and demonstrated capabilities in place for rate production.</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also directly engaged with the U.S. government, primarily through contracts with the Defense Advanced Research Project Agency, the Air Force Research Laboratory, and the Office of Naval Research to develop the next generation of RF components in GaN and GaAs. GaN high electron mobility transistor devices provide the higher power density and efficiency required for future high-power phased array radar, electronic warfare, missile seekers and communications systems. Through these programs and other ongoing efforts, we continue to enhance the reliability and manufacturability of our GaN processes.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Revenue from the sales of our products in the defense and aerospace end market can fluctuate significantly from year to year due to the timing of programs.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of Things (IoT)</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sell products that support the rapid explosion of connected devices under the umbrella of the IoT. These products include amplifier and RF filtering products for automotive applications, including automotive infotainment, satellite radios, radar and telematics, and various industrial applications, including smart energy/advanced metering infrastructure (“AMI”) systems. The most basic AMI systems provide a way for a utility company to measure customer usage remotely without touching or physically reading a meter.</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through the acquisition of GreenPeak Technologies in the first quarter of fiscal 2017, we offer CMOS SoC solutions for smart home and remote control applications. These solutions include embedded firmware as well as customer support for development of application software to facilitate integration of our SoCs into customer designs.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markets for applications that fall under IoT are just beginning to emerge. We expect that the mobile phone, which has proliferated throughout the world in the last decade, will be one of many nodes that provide users with the ability to sense, control, view, communicate with and access networks across a very wide range of applications and platforms, some of which are not fully envisioned today.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global supply chain and routinely ship millions of units per day. Our products have varying degrees of complexity and rely on semiconductors and other components that are manufactured in-house or outsourced. The majority of our products are multi-chip modules utilizing multiple semiconductor process technologies. We are a leading supplier of RF solutions and a leading manufacturer of GaAs HBT, GaAs pHEMT, GaN, SAW, TC-SAW and BAW for RF applications.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operate wafer fabrication facilities for the production of GaAs, GaN, SAW, TC-SAW and BAW wafers in Greensboro, North Carolina; Hillsboro, Oregon; Richardson, Texas; and Apopka, Florida. In the first quarter of fiscal 2017, we acquired an additional wafer fabrication facility in Farmers Branch, Texas, which we currently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 use to expand our BAW filter capacity. We also use multiple silicon-based process technologies, including SOI, SiGe and CMOS, in our products. We outsource all silicon manufacturing to leading silicon foundries located throughout the world.</w:t>
      </w:r>
    </w:p>
    <w:p>
      <w:pPr>
        <w:spacing w:after="0" w:line="17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have our own flip chip and WLP technologies and also use external suppliers for these and other packaging technologies. In packages that employ flip chips, the electrical connections are created directly on the surface of the die, which eliminates wirebonds so that the die may be attached directly to a substrate or leadframe. This type of technology provides a higher density interconnection capability than wirebonded die and enables smaller form factors with improved thermal and electrical performance. We also use wafer-level packaging (“WLP”) technologies for our SAW, TC-SAW and BAW filter products.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Once the semiconductor manufacturing is complete, the wafers are singulated, or separated, into individual units called die. For our module products, the next step in our manufacturing process is assembly. During assembly, the die and other necessary components are placed on a high density interconnect substrate to provide connectivity between the die and the components. This populated substrate is formed into a microelectronic package. Once assembled, the products are tested for RF performance and prepared for shipment through a tape and reel process. To assemble and test our products, we primarily use internal assembly facilities in the United States, China, Costa Rica and Germany, and we also utilize several external suppliers. We also manufacture large volumes of WLP die and discrete filters that our customers directly assemble into their products.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fabrication of ICs and filter products is highly complex and sensitive to particles and other contaminants, and requires production in a highly controlled, clean environment. Minute impurities, difficulties in the fabrication process or defects in the masks used to transfer circuits onto the wafers can cause a substantial percentage of the wafers to be rejected or numerous die on each wafer to be nonfunctional. The more brittle nature of GaAs wafers can also lead to more wafer breakages than experienced with silicon wafers.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maximize wafer yield and quality, we test our products in various stages in the fabrication process, maintain continuous reliability monitoring and conduct numerous quality control inspections throughout the entire production flow. Our manufacturing yields vary significantly among our products, depending upon a given product’s complexity and our manufacturing experience.</w:t>
      </w:r>
    </w:p>
    <w:p>
      <w:pPr>
        <w:spacing w:after="0" w:line="1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incur a high level of fixed costs to operate our own manufacturing facilities. These fixed costs consist primarily of facility occupancy costs, repair, maintenance and depreciation costs related to manufacturing equipment and fixed labor costs related to manufacturing and process engineering.</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quality management system is registered to ISO 9001 standards, and our environmental management system is registered to ISO 14001. A third-party independent auditor has determined that these systems meet the requirements developed by the International Organization of Standardization, a non-governmental network of the national standards institutes of over 160 countries. The ISO 9001 standard is based on a number of quality management principles including a strong customer focus, the motivation and implication of top management, the process approach and continual improvement. ISO 14001 is an internationally agreed upon standard that sets out the requirements for an environmental management system. It improves our environmental performance through more efficient use of resources and reduction of waste, gaining a competitive advantage and the trust of stakeholders. We require that all of our key vendors and suppliers are compliant with applicable ISO 9001 or TS-16949 standards, which means that their operations have in each case been determined by auditors to comply with internationally developed quality control standards.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manufacturing facilities in Greensboro, North Carolina; Hillsboro, Oregon; Richardson, Texas; and Apopka, Florida are certified to ISO/TS 16949 standards, which is the highest international quality standard for the automotive industry and incorporates ISO technical specifications that are more stringent than ISO 9001 quality management systems requirements. The ISO/TS 16949 standard combines North American and European automotive requirements and serves the global automotive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purchase numerous raw materials, passive components and substrates for our products and manufacturing processes. We use independent foundries to supply all of our silicon-based integrated circuits. High demand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SOI wafers to support manufacture of our switch products has led to supply constraints in the past, which we have addressed by qualifying new silicon foundries and securing supply commitments from existing silicon suppliers.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our acoustic filter manufacturing operations, we use several raw materials, including wafers made from quartz, silicon, lithium niobate (“LiNbO</w:t>
      </w:r>
      <w:r>
        <w:rPr>
          <w:rFonts w:ascii="Arial" w:cs="Arial" w:eastAsia="Arial" w:hAnsi="Arial"/>
          <w:sz w:val="11"/>
          <w:szCs w:val="11"/>
          <w:color w:val="auto"/>
        </w:rPr>
        <w:t>3</w:t>
      </w:r>
      <w:r>
        <w:rPr>
          <w:rFonts w:ascii="Arial" w:cs="Arial" w:eastAsia="Arial" w:hAnsi="Arial"/>
          <w:sz w:val="16"/>
          <w:szCs w:val="16"/>
          <w:color w:val="auto"/>
        </w:rPr>
        <w:t>”) or lithium tantalite (“LiTaO</w:t>
      </w:r>
      <w:r>
        <w:rPr>
          <w:rFonts w:ascii="Arial" w:cs="Arial" w:eastAsia="Arial" w:hAnsi="Arial"/>
          <w:sz w:val="11"/>
          <w:szCs w:val="11"/>
          <w:color w:val="auto"/>
        </w:rPr>
        <w:t>3</w:t>
      </w:r>
      <w:r>
        <w:rPr>
          <w:rFonts w:ascii="Arial" w:cs="Arial" w:eastAsia="Arial" w:hAnsi="Arial"/>
          <w:sz w:val="16"/>
          <w:szCs w:val="16"/>
          <w:color w:val="auto"/>
        </w:rPr>
        <w:t>”), as well as ceramic or metal packages. Relatively few companies produce these raw materials. We are leading the industry in developing SAW filters using six-inch LiNbO</w:t>
      </w:r>
      <w:r>
        <w:rPr>
          <w:rFonts w:ascii="Arial" w:cs="Arial" w:eastAsia="Arial" w:hAnsi="Arial"/>
          <w:sz w:val="11"/>
          <w:szCs w:val="11"/>
          <w:color w:val="auto"/>
        </w:rPr>
        <w:t>3</w:t>
      </w:r>
      <w:r>
        <w:rPr>
          <w:rFonts w:ascii="Arial" w:cs="Arial" w:eastAsia="Arial" w:hAnsi="Arial"/>
          <w:sz w:val="16"/>
          <w:szCs w:val="16"/>
          <w:color w:val="auto"/>
        </w:rPr>
        <w:t xml:space="preserve"> wafers, and we have qualified more than one source for this wafer material. For all of our SAW operations, we utilize multiple qualified wafer and mask set vendors. Our most significant suppliers of ceramic surface mount packages are based in Japan.</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manufacturing strategy includes a balance of internal and external sites (primarily for assembly operations), which helps reduce costs, provides flexibility of supply, and minimizes the risk of supply disruption. We routinely qualify multiple sources of supply and manufacturing sites to reduce the risk of supply interruptions or price increases and closely monitor suppliers’ key performance indicators. Our suppliers' and our manufacturing sites are geographically diversified (with our largest volume sources distributed throughout Southern and Eastern Asia), and we believe we have adequate sources for the supply of raw materials, passive components and substrates for our products and manufacturing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OEMs and ODMs. We are also engaged with leading baseband reference design partners located primarily in the U.S. and China.</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Some of our MP customers use multiple contract manufacturers for product assembly and test. Therefore, revenue for one customer may not necessarily represent the entire business of a single mobile products manufacturer. We provided our products to our largest end customer through sales to multiple contract manufacturers, which in the aggregate accounted for approximately 37%, 32% and 20% of total revenue in fiscal years 2016, 2015 and 2014, respectively. Huawei Technologies Co., Ltd., accounted for 12%, 7% and 4% of our total revenue in fiscal years 2016, 2015 and 2014, respectively. Samsung Electronics, Co., Ltd., accounted for approximately 7%, 14% and 25% of our total revenue in fiscal years 2016, 2015 and 2014, respectively. The majority of the revenue from these customers was from our mobile product sales. No other customer accounted for more than 10% of our total revenue in any of the last three fiscal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Some of our sales to overseas customers are made under export licenses that must be obtained from the U.S. Department of Commerce.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about revenue (including segment revenue), operating profit or loss and total assets is presented in Part II, Item 8, “Financial Statements and Supplementary Data”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sell our products worldwide directly to customers as well as through a network of domestic and foreign sales representative firms and distributors. We select our domestic and foreign sales representatives based on technical skills and sales experience, as well as the presence of complementary product lines and the customer base served. We provide ongoing training to our internal, as well as our external, sales representatives and distributors to keep them informed of, and educated about, our products. We maintain an internal sales and marketing organization that is responsible for key account management, application engineering support to customers, developing sales and advertising literature, and preparing technical presentations for industry conferences. We have sales and customer support centers located throughout the world.</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maintain an extensive web-site containing product information and publish a comprehensive product selection guide annually. Our global team of application engineers interacts with customers during all stages of design and production, provides customers with product application notes and engineering data, maintains regular contact with customer engineers, and assists in the resolution of technical problems. We believe that maintaining a close relationship with customers and platform providers and providing them with strong technical support enhances their level of satisfaction and enables us to anticipate their future product needs.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R&amp;D activities enable the technologies and products necessary to maintain our leadership in the end markets we serve. Our R&amp;D activities are focused on improving the performance, size and cost of our products in our customers’ systems. We focus on both continuous improvement in our processes for design and manufacture as well as innovation in fundamental research areas such as materials, simulation and modeling, circuit design, device packaging and test. We maintain an extensive patent portfolio and also protect much of our intellectual property in the form of trade secrets.</w:t>
      </w:r>
    </w:p>
    <w:p>
      <w:pPr>
        <w:spacing w:after="0" w:line="17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developed several generations of GaAs, GaN, BAW and SAW process technologies that we manufacture internally. We invest in these technologies to improve device performance, reduce die size and reduce manufacturing costs. We also develop and qualify technologies made available to us from key suppliers, including SOI for switches and RF signal conditioning solutions, SiGe and InP for amplifiers and CMOS for power management devices and SoC solutions. We combine these external technologies with our own proprietary design methods, intellectual property and other expertise to improve performance, increase integration and reduce the size and cost of our products.</w:t>
      </w:r>
    </w:p>
    <w:p>
      <w:pPr>
        <w:spacing w:after="0" w:line="1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Our RF systems-level expertise and our innovations in new product architectures, new circuit techniques, filtering and other new proprietary technologies are enabling us to solve the increasingly complex RF challenges related to linearity, power consumption and other critical performance metrics. This is evident in our line of high-performance </w:t>
      </w:r>
      <w:r>
        <w:rPr>
          <w:rFonts w:ascii="Arial" w:cs="Arial" w:eastAsia="Arial" w:hAnsi="Arial"/>
          <w:sz w:val="18"/>
          <w:szCs w:val="18"/>
          <w:i w:val="1"/>
          <w:iCs w:val="1"/>
          <w:color w:val="auto"/>
        </w:rPr>
        <w:t>RF Fusion™</w:t>
      </w:r>
      <w:r>
        <w:rPr>
          <w:rFonts w:ascii="Arial" w:cs="Arial" w:eastAsia="Arial" w:hAnsi="Arial"/>
          <w:sz w:val="18"/>
          <w:szCs w:val="18"/>
          <w:color w:val="auto"/>
        </w:rPr>
        <w:t xml:space="preserve"> and versatile </w:t>
      </w:r>
      <w:r>
        <w:rPr>
          <w:rFonts w:ascii="Arial" w:cs="Arial" w:eastAsia="Arial" w:hAnsi="Arial"/>
          <w:sz w:val="18"/>
          <w:szCs w:val="18"/>
          <w:i w:val="1"/>
          <w:iCs w:val="1"/>
          <w:color w:val="auto"/>
        </w:rPr>
        <w:t>RF Flex™</w:t>
      </w:r>
      <w:r>
        <w:rPr>
          <w:rFonts w:ascii="Arial" w:cs="Arial" w:eastAsia="Arial" w:hAnsi="Arial"/>
          <w:sz w:val="18"/>
          <w:szCs w:val="18"/>
          <w:color w:val="auto"/>
        </w:rPr>
        <w:t xml:space="preserve"> integrated modules.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Qorvo is a pioneer in envelope tracking (“ET”) technology for wireless applications, and we are incorporating our ET technology into power management components and our most advanced PAs. Our ET technology enables us to track the envelope of high-speed modulation signals and adjust the PA in real time to maximize efficiency and maintain required levels of linearity. This technology is increasingly necessary to maximize mobile device data rates and meet user expectations for battery life and maximum case temperatures. Because our customers often use a variety of baseband and power management chipsets, we also develop PAs that demonstrate industry-leading performance with third-party power management components.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continue to develop and release new GaN-based products and invest in new GaN process technologies to exploit GaN's performance advantages across existing and new product categories. The inherent wide band gap, high electron mobility, and high breakdown voltage characteristics of GaN semiconductor devices offer significant performance advantages versus competing technologies. We are also developing other advanced GaN process technologies that target applications where we anticipate GaN devices will provide a disruptive performance advantage and deliver meaningful energy savings in end-market products.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area of packaging technologies, we are developing and qualifying packaging technologies that allow us to improve performance and reduce the area and height of our products. We are continuing to invest in packaging technologies such as WLP and flip chip bumping that eliminate wire bonds, reduce the size and component height, and improve performance, while reducing the cost of packaging our products. In addition, we are investing in large scale module assembly and test capabilities to bring these technologies to market in very high volumes.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fiscal years 2016, 2015 and 2014, we incurred approximately $448.8 million, $257.5 million and $197.3 million, respectively, in R&amp;D expenses. We expect to continue to spend substantial funds on R&amp;D in support of our growth and product diversification goals.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operate in a very competitive industry characterized by rapid advances in technology and new product introductions. Our customers' product life cycles are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within the customer's cost limitations. The selection process for our products to be included in our customers' new products is highly competitive, and our customers provide no guarantees that our products will be included in the next generation of products introduced.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compete primarily with the following companies: Analog Devices, Inc.; Broadcom Limited; M/A-COM Technology Solutions, Inc.; Murata Manufacturing Co., Ltd.; Qualcomm Technologies, Inc.; Raytheon Company; Skyworks Solutions, Inc.; and Sumitomo Electric Device Innovations.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our current and potential competitors have entrenched market positions and customer relationships, established patents and other intellectual property and substantial technological capabilities. In some cases, our competitors are also our customers or suppliers. Additionally, many of our competitors may have significantly greater financial, technical, manufacturing and marketing resources than we do, which may allow them to implement new technologies and develop new products more quickly than we can.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believe our intellectual property, including patents, copyrights, trademarks, maskworks and trade secrets, is important to our business, and we actively seek opportunities to leverage our intellectual property portfolio to promote our business interests. We also actively seek to monitor and protect our global intellectual property rights and to deter unauthorized use of our intellectual property and other assets. Such efforts can be difficult because of the absence of consistent international standards and laws. Moreover, we respect the intellectual property rights of others and have implemented policies and procedures to mitigate the risk of infringing or misappropriating third party intellectual property.</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Patent applications are filed within the U.S. and in other countries where we have a market presence. On occasion, some applications do not mature into patents for various reasons, including rejections based on prior art. In addition, the laws of some foreign countries do not protect intellectual property rights to the same extent as U.S. laws. We have more than 1,100 patents that expire from 2016 to 2036. We also continue to acquire patents through acquisitions or direct prosecution efforts and engage in licensing transactions to secure the right to practice third parties’ patents. In view of our rapid innovation and product development and the comparative pace of governments’ patenting processes, there is no guarantee that our products will not be obsolete before the related patents expire or are granted. However, we believe the duration and scope of our most relevant patents are sufficient to support our business, which as a whole is not significantly dependent on any particular patent or other intellectual property right. As we expand our products and offerings, we also seek to expand our patent prosecution efforts to cover such products.</w:t>
      </w:r>
    </w:p>
    <w:p>
      <w:pPr>
        <w:spacing w:after="0" w:line="17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sales are the result of standard purchase orders or specific agreements with customers. We maintain Qorvo-owned finished goods inventory at certain customers’ “hub” locations and do not recognize revenue until our customers draw down the inventory at these hubs. Our customers’ projections of consumption of hub inventory and quantities on purchase orders, as well as the shipment schedules, are frequently revised within agreed-upon lead times to reflect changes in the customers’ needs. Because industry practice allows customers to cancel orders with limited advance notice prior to shipment, and with little or no penalty, we believe that backlog as of any particular date may not be a reliable indicator of our future revenue levels.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April 2, 2016, we had more than 7,300 employees. We believe that our future prospects will depend, in part, on our ability to continue to attract and retain skilled employees. Competition for skilled personnel is intense, and the number of persons with relevant experience, particularly in RF engineering, product design and technical marketing, is limited. None of our U.S. employees are represented by a labor union. A number of our Europe-based employees (less than 5% of our global workforce as of April 2, 2016) are subject to collective bargaining-type works council arrangements. We have never experienced any work stoppage, and we believe that our current employee relations are good.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i w:val="1"/>
                <w:iCs w:val="1"/>
                <w:color w:val="auto"/>
              </w:rPr>
              <w:t>Geographic Financial Summary</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w w:val="94"/>
              </w:rPr>
              <w:t>A summary of our operations by geographic area is as follows (in thousands):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5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w w:val="96"/>
              </w:rPr>
              <w:t>Fiscal Year</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5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58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306,328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315,775</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342,805</w:t>
            </w:r>
          </w:p>
        </w:tc>
      </w:tr>
      <w:tr>
        <w:trPr>
          <w:trHeight w:val="27"/>
        </w:trPr>
        <w:tc>
          <w:tcPr>
            <w:tcW w:w="5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2,304,398</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1,395,191</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805,426</w:t>
            </w:r>
          </w:p>
        </w:tc>
      </w:tr>
      <w:tr>
        <w:trPr>
          <w:trHeight w:val="297"/>
        </w:trPr>
        <w:tc>
          <w:tcPr>
            <w:tcW w:w="5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816,882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697,305</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120,885</w:t>
            </w:r>
          </w:p>
        </w:tc>
      </w:tr>
      <w:tr>
        <w:trPr>
          <w:trHeight w:val="27"/>
        </w:trPr>
        <w:tc>
          <w:tcPr>
            <w:tcW w:w="5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230,006</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186,066</w:t>
            </w:r>
          </w:p>
        </w:tc>
        <w:tc>
          <w:tcPr>
            <w:tcW w:w="5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75,111</w:t>
            </w:r>
          </w:p>
        </w:tc>
      </w:tr>
      <w:tr>
        <w:trPr>
          <w:trHeight w:val="27"/>
        </w:trPr>
        <w:tc>
          <w:tcPr>
            <w:tcW w:w="5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Sales for geographic disclosure purposes are based on the “sold to” address of the customer. The “sold to” address is not always an accurate representation of the location of final consumption of our products. Of our total revenue for fiscal 2016, approximately 61% ($1,601.0 million) was attributable to customers in China and approximately 14% ($365.1 million) was attributable to customers in Taiwan.</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Long-lived tangible assets primarily include property and equipment. At April 2, 2016, approximately $183.8 million (or 18%) of our total property and equipment was located in China.</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financial information regarding our operations by geographic area, see Note 15 of the Notes to the Consolidated Financial Statements set forth in Part II, Item 8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certain risks associated with our foreign operations, see 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By virtue of operating our wafer fabrication facilities, we are subject to a variety of extensive and changing domestic and international federal, state and local governmental laws, regulations and ordinances related to the use, storage, discharge and disposal of toxic, volatile or otherwise hazardous chemicals used in the manufacturing process. We provide our own manufacturing waste water treatment and disposal for most of our manufacturing facilities and we have contracted for the disposal of hazardous waste. State agencies require us to report usage of environmentally hazardous materials, and we have retained appropriate personnel to help ensure compliance with all applicable environmental regulations. We believe that costs arising from existing environmental laws will not have a material adverse effect on our financial position or results of operations.</w:t>
      </w:r>
    </w:p>
    <w:p>
      <w:pPr>
        <w:spacing w:after="0" w:line="178"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We are an ISO 14001:2004 certified manufacturer with a comprehensive Environmental Management System (“EMS”) in place in order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actively monitor the hazardous materials that are used in the manufacture, assembly and testing of our products, particularly materials that are retained in the final product. We have developed specific restrictions on the content of certain hazardous materials in our products, as well as those of our suppliers and outsourced manufacturers and subcontractors. This helps to ensure that our products are compliant with the requirements of the markets into which the products will be sold.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anticipate any material capital expenditures for environmental control facilities for fiscal 2017 or fiscal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Information</w:t>
      </w:r>
    </w:p>
    <w:p>
      <w:pPr>
        <w:spacing w:after="0" w:line="2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make available, free of charge through our website (http://www.qorvo.com), our annual and quarterly reports on Forms 10-K and 10-Q (including related filings in 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U.S. Securities and Exchange Commission (“SEC”). The public may also request a copy of our forms filed with the SEC, without charge upon written request, directed 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7628 Thorndike Road Greensboro, NC 27409-9421</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contained on, or that can be accessed through, our website is not incorporated by reference into this Annual Report on Form 10-K. We have included our website address as a factual reference and do not intend it as an active link to our website.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SEC maintains an Internet site that contains reports, proxy and information statements, and other information regarding issuers that file electronically with the SEC at http://www.sec.gov. You may also read and copy any documents that we file with the SEC at the SEC’s Public Reference Room located at 100 F Street, N.E., Room 1580, Washington, D.C. 20549. Please call the SEC at 1-800-SEC-0330 for information on the operation of the Public Reference Room.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fluctuate.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 earnings, margins and other operating results have fluctuated significantly in the past and may fluctuate significantly in the future. If demand for our products fluctuates as a result of economic conditions or for other reasons, our revenue and profitability could be impacted. Our future operating results will depend on many factors, including the following:</w:t>
      </w:r>
    </w:p>
    <w:p>
      <w:pPr>
        <w:spacing w:after="0" w:line="181" w:lineRule="exact"/>
        <w:rPr>
          <w:sz w:val="20"/>
          <w:szCs w:val="20"/>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business and macroeconomic conditions, including downturns in the semiconductor industry and the overall global economy and changes in credit markets;</w:t>
      </w:r>
    </w:p>
    <w:p>
      <w:pPr>
        <w:spacing w:after="0" w:line="170" w:lineRule="exact"/>
        <w:rPr>
          <w:rFonts w:ascii="Arial" w:cs="Arial" w:eastAsia="Arial" w:hAnsi="Arial"/>
          <w:sz w:val="18"/>
          <w:szCs w:val="18"/>
          <w:color w:val="auto"/>
        </w:rPr>
      </w:pPr>
    </w:p>
    <w:p>
      <w:pPr>
        <w:ind w:left="660" w:right="10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consumer confidence caused by many factors, including changes in interest rates, credit markets, expectations for inflation, unemployment levels, and energy or other commodity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demand for our customers’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predict market requirements and evolving industry standards accurately and in a timely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predict customer demand accurately to limit obsolete inventory, which would reduce our margins;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third-party foundries and other third-party suppliers to manufacture, assemble and test our products in a timely and cost-effective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that they hold and to forecast accurately their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respond to downward pressure on the average selling prices of our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acquire additional capacity in response to customer demand.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 is likely that 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substantially dependent on development of new products and achieving design wins.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average selling prices of our products have historically decreased over the products' lives and we expect this to continue. To offset these average selling price decreases, we must achieve yield improvements and other cost reductions for existing products, and introduce new products that can be manufactured at lower costs or that command higher prices based on superior performance. Our future success is dependent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in the past. Our successful product development depends on a number of factors, including the following:</w:t>
      </w:r>
    </w:p>
    <w:p>
      <w:pPr>
        <w:spacing w:after="0" w:line="17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predict market requirements and define and design new products that address those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design products that meet our customers’ cost, size and performance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of our new product designs;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qualified product designers;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timely completion of product designs and ramp up of new products according to our customers’ needs with acceptable manufacturing yields;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duration of the life cycle of such products.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may not be able to design and introduce new products in a timely or cost-efficient manner, and our new products may fail to meet the requirements of the market or our customers. In that case, we likely will not reach the expected level of production orders, which could adversely affect our operating results. Even when a design win is achieved, our success is not assured. Design wins may require significant expenditures by us and typically precede volume revenue by six to nine months or more. Many customers seek a second source for all major components in their devices, which can significantly impact the revenue obtained from a design win. The actual value of a design win to us will ultimately depend on the commercial success of our customer’s product.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few large customers for a substantial portion of our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substantial portion of our MP revenue comes from large purchases by a small number of customers. Our future operating results depend on both the success of our largest customers and on our success in diversifying our products and customer base.</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typically manufacture custom products on an exclusive basis for individual customers for a negotiated period of time. Increasingly, the largest cellular handset OEMs are releasing fewer new phone models on an annual basis, which heightens the importance of achieving design wins for these larger opportunities. While the rewards for a design win are financially greater, competition for these projects is intense. The concentration of our revenue with a relatively small number of customers makes us particularly dependent on factors affecting those customers. For example, if demand for their products decreases, they may stop purchasing our products and our operating results would suffer. Most of our customers can cease incorporating our products into their products with little notice to us and with little or no penalty. The loss of a large customer and failure to add new customers to replace lost revenue would have a material adverse effect on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of a loss of revenue if contracts with the U.S. government or defense and aerospace contractors are canceled or delayed.</w:t>
      </w:r>
    </w:p>
    <w:p>
      <w:pPr>
        <w:spacing w:after="0" w:line="23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receive a portion of our revenue from the U.S. government and from prime contractors on U.S. government-sponsored programs, principally for defense and aerospace applications. These programs are subject to delays or cancellation. Further, spending on defense and aerospace contracts can vary significantly depending on funding from the U.S. government. We believe our government and defense and aerospace contracts in the recent past have been negatively affected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fabrication costs.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currently use several external manufacturing suppliers to supplement our internal manufacturing capabilities. We believe all of our key vendors and suppliers are compliant with applicable ISO 9001 and/or TS-16949 standards. However, if these vendors' processes vary in reliability or quality, they could negatively affect our products, our reputation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the operation of our manufacturing facilities.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wafer fabrication facilities in Florida, North Carolina, Oregon and Texas. We currently use several international and domestic assembly suppliers, as well as internal assembly facilities in the U.S., China, Costa Rica, the Philippines and Germany to assemble and test our products. We currently have our own test and tape and reel facilities located in the U.S., China, Costa Rica and the Philippines, and we also utilize contract suppliers and partners in Asia to test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will affect the future success of our facilities, including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adjust production capacity in a timely fashion in response to changes in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revenue in amounts that cover the significant fixed costs of operating the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qualify our facilities for new products and new technologies in a timely manner;</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raw materials and the impact of the volatility of commodity pricing on raw materials, including GaAs substrates, gold and high purity source materials such as gallium, aluminum, arsenic, indium, silicon, phosphorous and beryllium;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manufacturing cycle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manufacturing yields;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political and economic risks associated with our manufacturing operations in China, Costa Rica, the Philippines and Germany;</w:t>
      </w:r>
    </w:p>
    <w:p>
      <w:pPr>
        <w:spacing w:after="0" w:line="23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potential violations by our </w:t>
      </w:r>
      <w:r>
        <w:rPr>
          <w:rFonts w:ascii="Arial" w:cs="Arial" w:eastAsia="Arial" w:hAnsi="Arial"/>
          <w:sz w:val="21"/>
          <w:szCs w:val="21"/>
          <w:color w:val="auto"/>
        </w:rPr>
        <w:t>i</w:t>
      </w:r>
      <w:r>
        <w:rPr>
          <w:rFonts w:ascii="Arial" w:cs="Arial" w:eastAsia="Arial" w:hAnsi="Arial"/>
          <w:sz w:val="18"/>
          <w:szCs w:val="18"/>
          <w:color w:val="auto"/>
        </w:rPr>
        <w:t>nternational employees or third-party agents of international or U.S. laws relevant to foreign operations;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30" w:right="27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our internal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train and manage qualified production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compliance with applicable environmental and other laws and regulations, including social responsibilities and conflict minerals requirements;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avoid prolonged periods of down-time in our facilities for any reason;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natural disasters anywhere in the world, which could directly or indirectly affect our facilities, subcontractor operations, and supply chain.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harm our business, lead to a decline in revenues and increase our costs.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worldwide operations could be disrupted by telecommunications failures, power or water shortages, tsunamis, floods, hurricanes, typhoons, fires, extreme weather conditions, climate change, medical epidemics or pandemics and other public health issues, military actions, acts of terrorism, political or regulatory issues and other natural or man-made disasters or catastrophic events.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increase our costs and expenses. Any disruptions from these events could require substantial expenditures and recovery time in order to fully resume operations and have a material adverse effect on our operations and financial results to the extent that losses exceed insurance recoveries and to the extent that such disruptions might adversely impact our relationships with our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poor manufacturing yields, our operating results may suffer.</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products are very complex. Each product has a unique design and is fabricated using semiconductor process technologies that are highly complex. In many cases, the products are assembled in customized packages. Our products, many of which consist of multiple components in a single package,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Due to the complexity of our products, we periodically experience difficulties in achieving acceptable yields and other quality issues, particularly with respect to new products.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customers test our products once they have been assembled into their products. The number of usable products that result from our production process can fluctuate as a result of many factors, including the following: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errors;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in photomasks (which are used to print circuits on a wafer);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minute impurities in materials used;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contamination of the manufacturing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failure or variations in the manufacturing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losses from broken wafers or other human error;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in packaging.</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Costs of product defects and deviations from required specifications could include the following: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writing off the value of inventory;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disposing of products that cannot be fixed;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recalling products that have been shipped;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product replacements or modifications;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and indirect costs incurred by our customers in recalling their products due to defects in our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defending against litigation.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increased inventory risks and costs because we build our products based on forecasts provided by customers before receiving purchase orders for the products.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ensure availability of our products for some of our largest customers, we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If product demand decreases or we fail to forecast demand accurately, we could be required to write-off inventory, which would have a negative impact on our gross margin and other operating results.</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sell certain of our products based on reference designs of platform providers, and our inability to effectively manage or maintain our evolving relationships with these companies may have an adverse effect on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Platform providers are typically large companies that provide system reference designs for OEMs and ODMs that include the platform provider's baseband and other complementary products. A platform provider may own or control IP that gives it a strong market position for their baseband products for certain air interface standards, which provides it with significant influence and control over sales of RF products for these standards. Platform providers historically looked to us and our competitors to provide RF products to their customers as part of the overall system design, and we competed with other RF companies to have our products included in the platform provider's system reference design. This market dynamic has evolved in recent years as platform providers have worked to develop more fully integrated solutions that include their own RF technologies and components.</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Platform providers may be in a different business from ours or we may be their customer or direct competitor. Accordingly, we must balance our interest in obtaining new business with competitive and other factors. Because platform providers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relationships with platform providers are complex and evolving, and the inability to effectively manage or maintain these relationships could have an adverse effect on our business,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from international sales and operations.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operate globally with sales offices and R&amp;D activities as well as manufacturing, assembly and testing facilities in multiple countries. As a result, we are subject to regulatory, geopolitical and other risks associated with doing business outside the U.S. Global operations involve inherent risks that include currency controls and fluctuations as well as tariff, import and other related restrictions and regulations.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Sales to customers located outside the U.S. accounted for approximately 88% of our revenue in fiscal 2016, of which approximately 61% and 14% were attributable to sales to customers located in China and Taiwan, respectively. We expect that revenue from international sales to China and other markets will continue to be a significant part of our total revenue. Any weakness in the Chinese economy could result in a decrease in demand for consumer products that contain our products, which could materially and adversely affect our business.</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Because the majority of our foreign sales are denominated in U.S. dollars, our products become less price-competitive in countries with currencies that are low or are declining in value against the U.S. dollar. Also, we cannot be sure that our international customers will continue to accept orders denominated in U.S. dollars.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majority of our assembly, test and tape and reel vendors are located in Asia. We do the majority of our business with our foreign assemblers in U.S. dollars. Our manufacturing costs could increase in countries with currencies that are increasing in value against the U.S. dollar. Also, we cannot be sure that our international manufacturing suppliers will continue to accept orders denominated in U.S. dollars.</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addition, if terrorist activity, armed conflict, civil or military unrest or political instability occur, such events may disrupt manufacturing, assembly, logistics, security and communications, and could also result in reduced demand for our products. Pandemics and similar major health concerns could also adversely affect our business and our customer order patterns. We could also be affected if labor issues disrupt our transportation or manufacturing arrangements or those of our customers or suppliers. On a worldwide basis, we regularly review our key infrastructure, systems, services and suppliers, both internally and externally, to seek to identify significant vulnerabilities as well as areas of potential business impact if a disruptive event were to occur. Once identified, we assess the risks, and as we consider it to be appropriate, we initiate actions intended to minimize the risks and their potential impact. However, there can be no assurance that we have identified all significant risks or that we can mitigate all identified risks with reasonable effort.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regulation in China could adversely impact our business and results of operations.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 significant portion of our assembly and testing capacity in China. In recent years, the Chinese economy has experienced periods of rapid expansion and wide fluctuations in the rate of inflation. In response to these factors, the Chinese government has, from time to time, adopted measures to regulate growth and contain inflation, including measures designed to restrict credit or to control prices. Such actions in the future could increase the cost of doing business in China or decrease the demand for our products in China, which could have a material adverse effect on our business and results of operations.</w:t>
      </w:r>
    </w:p>
    <w:p>
      <w:pPr>
        <w:spacing w:after="0" w:line="15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May 2015, China’s government implemented a policy applicable to the three Chinese state-owned mobile telecommunications carriers that mandated 4G LTE network improvements and that implemented subsidies for Chinese consumers for both the purchase of 4G LTE mobile devices and for mobile telecom data service fees. If subsidies under this policy are ended or curtailed, our business, results of operations and prospects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very competitive industry and must continue to implement innovative technologies.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compete with several companies primarily engaged in the business of designing, manufacturing and selling RF solutions, as well as suppliers of discrete integrated circuits and modules. In addition to our direct competitors, some of our largest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Many of our existing and potential competitors have entrenched market positions, historical affiliations with OEMs, considerable internal manufacturing capacity, established IP rights and substantial technological capabilities. Many of our existing and potential competitors may have greater financial, technical, manufacturing or marketing resources than we do. We cannot be sure that we will be able to compete successfully with our competitors.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industry's technology changes rapidly.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primarily design and manufacture high-performance semiconductor components for wireless applications. Our markets are characterized by the frequent introduction of new products in response to evolving product and process technologies and consumer demand for greater functionality, lower costs, smaller products and better performance. As a result, we have experienced and will continue to experience some product design obsolescence. We expect our customers' demands for reductions in cost and improvements in product performance to continue, which means that we must continue to improve our product designs and develop new products that may use new technologies. It is possible that competing technologies will emerge that permit the manufacture of products that are equivalent or acceptable in terms of performance, but lower in cost, to the products we make under existing processes. If we cannot design products using competitive technologies or develop competitive products, our operating results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overcapacity could cause us to underutilize our manufacturing facilities and have a material adverse effect on our financial performance.</w:t>
      </w:r>
    </w:p>
    <w:p>
      <w:pPr>
        <w:spacing w:after="0" w:line="24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It is difficult to predict future growth or decline in the demand for our products, which makes it very difficult to estimate requirements for production capacity. In prior fiscal years, we have added significant capacity through acquisitions as well as by expanding capacity at our existing manufacturing facilities, and we are in the process of expanding our BAW, SAW and TC-SAW filter capacity at our existing facilities, including a new facility that we purchased in the first quarter of fiscal 2017.</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past, capacity additions by us and our competitors sometimes exceeded demand requirements, leading to oversupply situations. Fluctuations in the growth rate of industry capacity relative to the growth rate in demand for our products lead to overcapacity and contribute to cyclicality in the semiconductor market.</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many of our manufacturing costs are fixed, these costs cannot be reduced in proportion to the reduced revenues experienced during periods in which we underutilize our manufacturing facilities as a result of overcapacity. If the demand for our products is not consistent with our expectations, underutilization of our manufacturing facilities may have a material adverse effect on average selling prices, our gross margin and other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borrow funds under our credit facility or secure future financing.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a five-year senior credit facility with Bank of America, N.A., as Administrative Agent and a lender, and a syndicate of other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revolving credit facility is available to finance working capital, capital expenditures and for other corporate purposes. This facility contains various conditions, covenants and representations with which we must be in compliance in order to borrow funds. We cannot assure that we will be in compliance with these conditions, covenants and representations in the future when we may need to borrow funds under this facility.</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debt, including our Senior Notes, and may be forced to take other actions to satisfy our obligations under our debt, which may not be successful.</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November 2015, we issued $450.0 million aggregate principal amount of 6.75% Senior Notes due 2023 and $550.0 million aggregate principal amount of 7.00% Senior Notes due 2025 (collectively, the “Notes”). Our ability to make scheduled payments on or to refinance our debt obligations, including the Notes, and to fund working capital, planned capital expenditures and expansion efforts and any strategic alliances or acquisitions we may make in the future depends on our ability to generate cash in the future and our financial condition and operating performance, which are subject to prevailing economic and competitive conditions and to certain financial, business and other factors beyond our control. We cannot be sure that we will maintain a level of cash flows from operating</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30" w:right="27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activities sufficient to permit us to pay the principal, premium, if any, and interest on our debt, including the Notes. If our cash flows and capital resources are insufficient to fund our debt service obligations, we may be forced to reduce or delay investments and capital expenditures, or to sell assets, seek additional capital or restructure or refinance our debt, including the Notes. These alternative measures may not be successful and may not permit us to meet our scheduled debt service obligations. If our operating results and available cash are insufficient to meet our debt service obligations, we could face substantial liquidity problems and might be required to dispose of material assets or operations to meet our debt service and other obligations. We may not be able to consummate those dispositions or to obtain the proceeds sought from them, and these proceeds may not be adequate to meet any debt service obligations then due. Additionally, the agreements governing our Credit Agreement and the Indenture governing the Notes limit the use of the proceeds from any disposition; as a result, we may not be allowed under these documents to use proceeds from such dispositions to satisfy our debt service obligations. Further, we may need to refinance all or a portion of our debt on or before maturity, and we cannot be sure that we will be able to refinance any of our debt on commercially reasonable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agreements and instruments governing our debt impose restrictions that may limit our operating and financial flexibility.</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Credit Agreement governing our revolving credit facility and the Indenture governing the Notes contain a number of significant restrictions and covenants that limit our ability to:</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make other distributions or repurchase or redeem our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or permit to exist certain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 amalgamate, merge or sell all or substantially all of our assets.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covenants could have the effect of limiting our flexibility in planning for or reacting to changes in our business and the markets in which we compete. In addition, the Credit Agreement requires us to comply with certain financial maintenance covenants. Operating results below current levels or other adverse factors, including a significant increase in interest rates, could result in our being unable to comply with the financial covenants contained in our revolving credit facility. If we violate covenants under the Credit Agreement and are unable to obtain a waiver from our lenders, our debt under our revolving credit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on terms that are acceptable to us, or at all.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price of our common stock, which is traded on the NASDAQ Global Select Market, has been and may continue to be volatile and subject to wide fluctuations. In addition, the trading volume of our common stock may fluctuate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cause significant price variations to occur. Some of the factors that could cause fluctuations in the stock price or trading volume of our common stock include: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and economic conditions, including market conditions in the semiconductor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expected variations in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operations and stock performance of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acquisitions or strategic alliances by us or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cannot assure you that the price of our common stock will not fluctuate or decline significantly in the future. In addition, the stock market in general can experience considerable price and volume fluctuations that are unrelated to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engage in future acquisitions that dilute our stockholders’ ownership and cause us to incur debt and assume contingent liabilities.</w:t>
      </w:r>
    </w:p>
    <w:p>
      <w:pPr>
        <w:spacing w:after="0" w:line="23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part of our business strategy, we expect to continue to review potential acquisitions that could complement our current product offerings, augment our market coverage or enhance our technical capabilities, or that may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also entail numerous other risks that could adversely affect our business, results of operations and financial condition, including:</w:t>
      </w:r>
    </w:p>
    <w:p>
      <w:pPr>
        <w:spacing w:after="0" w:line="15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capital expenditures or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acquisition-related charges and amortization of acquired technology and other intangibles;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injury to existing business relationships with suppliers and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 operations, products, technologies and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unrealized expected synergies.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order to compete, we must attract, retain, and motivate key employees, and our failure to do so could harm our business and our 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In order to compete effectively, we must: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leaders for key business units and functions;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130" w:right="3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presence in international locations and adapt to cultural norms of foreign locations;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 and motivate our employee base.</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integrated circuits and filter design, and technical marketing and support, is limited. We cannot be sure that we will be able to attract and retain skilled personnel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our intellectual property portfolio and may not be able to successfully protect against the use of our intellectual property by third parties.</w:t>
      </w:r>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rely on a combination of patents, trademarks, trade secret laws, confidentiality procedures and licensing arrangements to protect our intellectual property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laws of some countries in which our products are developed, manufactured or sold may not protect our products or intellectual property rights to the same extent as U.S. laws. This increases the possibility of piracy of our technology and products. Although we intend to vigorously defend our intellectual property rights, we may not be able to prevent misappropriation of our technology. Additionally, our competitors may be able to independently develop non-infringing technologies that are substantially equivalent or superior to ours.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need to engage in legal actions to enforce or defend our intellectual property rights. Generally, intellectual property litigation is both expensive and unpredictable. Our involvement in intellectual property litigation could have a material, adverse effect on our business. These adverse effects may include injunctions, exclusion orders and royalty payments to third parties.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Security breaches and other similar disruptions could compromise our information and expose us to liability, which would cause our business and reputation to suffer.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rely on trade secrets, technical know-how and other unpatented proprietary information relating to our product development and manufacturing activities. We try to protect this information by entering into confidentiality agreements with our employees, consultants, strategic partners and other parties. We also restrict access to our proprietary information.</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Despite these efforts, internal or external parties may attempt to copy, disclose, obtain or use our proprietary information without our authorization. Additionally, current, departing or former employees or third parties could attempt to improperly use or access our computer systems and networks to misappropriate our proprietary information or otherwise interrupt our business. Like others, we are also potentially subject to significant system or network disruptions, including new system implementations, computer viruses, facility access issues and energy blackouts.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From time to time, we have experienced attacks on our computer systems by unauthorized outside parties; however, we do not believe that such attacks have resulted in any material damage to our customers or us. Because the techniques used by computer hackers and others to access or sabotage networks constantly evolve and generally are not recognized until launched against a target, we may be unable to anticipate, counter or ameliorate all of these techniques. As a result, our technologies, processes and customer information may be misappropriated and the impact of any future incident cannot be predicted. Any loss of such information could harm our competitive position, result in a loss of customer confidence in the adequacy of our threat mitigation and detection processes and procedures, or cause us to incur significant costs to remedy the damages caused by the incident. We routinely implement improvements to our network security safeguards and we are devoting increasing resources to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security of our information technology systems. We cannot, however, assure that such system improvements will be sufficient to prevent or limit the damage from any future cyber attack or network disruptions.</w:t>
      </w:r>
    </w:p>
    <w:p>
      <w:pPr>
        <w:spacing w:after="0" w:line="170"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We also rely on third-party service providers to protect our proprietary information. Third party service providers include foundries, assembly and test contractors, distributors, credit card processors and other vendors that have access to our sensitive data. These providers should have safeguards in place to protect our data. Failure of these parties to properly safeguard our data could also result in security breaches and loss of proprietary information.</w:t>
      </w:r>
    </w:p>
    <w:p>
      <w:pPr>
        <w:jc w:val="both"/>
        <w:spacing w:after="0" w:line="302" w:lineRule="auto"/>
        <w:rPr>
          <w:sz w:val="20"/>
          <w:szCs w:val="20"/>
          <w:color w:val="auto"/>
        </w:rPr>
      </w:pPr>
      <w:r>
        <w:rPr>
          <w:rFonts w:ascii="Arial" w:cs="Arial" w:eastAsia="Arial" w:hAnsi="Arial"/>
          <w:sz w:val="16"/>
          <w:szCs w:val="16"/>
          <w:color w:val="auto"/>
        </w:rPr>
        <w:t>The costs related to cyber or other security threats or computer systems disruptions typically would not be fully insured or indemnified by others. Occurrence of any of the events described above could result in loss of competitive advantages derived from our R&amp;D efforts or our IP. Moreover, these events may result in the early obsolescence of our products; adversely affect our internal operations and reputation; or degrade our financial results and stock price.</w:t>
      </w:r>
    </w:p>
    <w:p>
      <w:pPr>
        <w:spacing w:after="0" w:line="1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wireless devices pose safety risks, we may be subject to product liability litigation and new regulations, and demand for our products and those of our customers may decrease.</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groups have requested that the Federal Communications Commission investigate claims that wireless communications technologies pose health concerns and cause interference with airbags, hearing aids and medical devices. Concerns have also been expressed over, and state laws have been enacted to mitigate, the possibility of safety risks due to a lack of attention associated with the use of wireless devices while driving. Legislation that may be adopted in response to these concerns, product liability litigation or other lawsuits or adverse news or findings about health and safety risks could reduce demand for our products and those of our customers. Any product liability litigation could result in significant expense and liability to us and divert the efforts of our technical and management personnel, whether or not the litigation is determined in our favor or covered by insurance. Such findings or litigation may also adversely affect our revenues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environmental regulations.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subject to a variety of federal, state and local requirements governing the protection of the environment. These environmental regulations include those related to the use, storage, handling, discharge and disposal of toxic or otherwise hazardous materials used in our manufacturing processes. A change in environmental laws or our failure to comply with environmental laws could subject us to substantial liability or force us to significantly change our manufacturing operations. In addition, under some of these laws and regulations, we could be held financially responsible for remedial measures if our properties are contaminated, even if we did not cause the contamination. Growing concerns about climate change, including the impact of global warming, may result in new regulations with respect to greenhouse gas emissions. Our compliance with this legislation may result in additional costs.</w:t>
      </w:r>
    </w:p>
    <w:p>
      <w:pPr>
        <w:spacing w:after="0" w:line="16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Two former production facilities at Scotts Valley and Palo Alto, California from TriQuint's acquisition of WJ Communications, Inc. have significant environmental liabilities for which we have entered into and funded fixed price remediation agreements and obtained cost-overrun and unknown pollution insurance coverage. These arrangements may not be sufficient to cover all liabilities related to these two sites.</w:t>
      </w:r>
    </w:p>
    <w:p>
      <w:pPr>
        <w:spacing w:after="0" w:line="166"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metals used in manufacturing our products.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could affect the sourcing and availability of minerals that are used in the manufacture of our products. We have incurred costs and expect to incur additional costs associated with complying with these requirements. Additionally, we may face reputational challenges with our customers and other stakeholders if we are unable to sufficiently verify the origins of all minerals used in our products through the due diligence procedures that we implement. We may also face challenges with government regulators and our customers and suppliers if we are unable to sufficiently verify that the metals used in our products are conflict free.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30"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and the General Corporation Law of the State of Delaware may discourage takeovers and business combinations that our stockholders might consider in their best interests.</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Certain provisions in our amended and restated certificate of incorporation and amended and restated bylaws may have the effect of delaying, deterring, preventing or rendering more difficult a change in control of Qorvo that our stockholders might consider in their best interests. These provisions include:</w:t>
      </w:r>
    </w:p>
    <w:p>
      <w:pPr>
        <w:spacing w:after="0" w:line="124" w:lineRule="exact"/>
        <w:rPr>
          <w:sz w:val="20"/>
          <w:szCs w:val="20"/>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of stockholders;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advance notice requirements for stockholder proposals and nominations for election to the board of directors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vary as a result of the methods, estimates and judgments we use in applying our accounting policies.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our results of operations (see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Estimates</w:t>
      </w:r>
      <w:r>
        <w:rPr>
          <w:rFonts w:ascii="Arial" w:cs="Arial" w:eastAsia="Arial" w:hAnsi="Arial"/>
          <w:sz w:val="18"/>
          <w:szCs w:val="18"/>
          <w:color w:val="auto"/>
        </w:rPr>
        <w:t>" in Part II, Item 7 of this report). Such methods, estimates and judgments are, by their nature, subject to substantial risks,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and assumptions, and factors may arise over time that lead us to change our methods, estimates and judgments that could significantly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we make about the scope of our future operations could affect our future financial results.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Changes in the business environment could lead us to decide to change the scope of operations of our business, which could result in restructuring and asset impairment charges. The amount and timing of such charges can be difficult to predict. Factors that contribute to the amount and timing of such charges include:</w:t>
      </w:r>
    </w:p>
    <w:p>
      <w:pPr>
        <w:spacing w:after="0" w:line="181" w:lineRule="exact"/>
        <w:rPr>
          <w:sz w:val="20"/>
          <w:szCs w:val="20"/>
          <w:color w:val="auto"/>
        </w:rPr>
      </w:pPr>
    </w:p>
    <w:p>
      <w:pPr>
        <w:ind w:left="660" w:right="5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execution of plans and programs that are subject to local labor law requirements, including consultation with appropriate work councils;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assumptions related to severance and post-retirement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future divestitures and the amount and type of proceeds realized from such divestitures;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fair value of certain long-lived assets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30" w:right="29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impact our results of operations.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taxation in the U.S., China, Singapore and numerous other foreign taxing jurisdictions. Our effective tax rate is subject to fluctuations as it is impacted by a number of factors, including the following: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profit determined to be earned and taxed in each jurisdiction;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valuation of either our gross deferred tax assets or gross deferred tax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adjustments to income taxes upon finalization of various tax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the Organisation for Economic Co-operation and Development Base Erosion and Profit Shifting initiative on tax policy and enacted laws;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future decision to repatriate non-U.S. earnings for which we have not previously provided for U.S.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tax rates could reduce net income for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favorable tax status of our subsidiaries in Costa Rica and Singapore would have an adverse impact on our operating results.</w:t>
      </w:r>
    </w:p>
    <w:p>
      <w:pPr>
        <w:spacing w:after="0" w:line="23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subsidiaries in Costa Rica and Singapore have been granted tax holidays that effectively minimize our tax expense and that are expected to be effective through March 2024 and December 2021, respectively. In their efforts to deal with budget deficits, governments around the world are focusing on increasing tax revenues through increased audits and, potentially, increased tax rates for corporations. As part of this effort, governments continue to review their policies on granting tax holidays. Changes in the status of either tax holiday could have a negative effect on our net income in future years.</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management has identified a material weakness in our internal control over financial reporting related to accounting for income taxes. If we fail to maintain effective internal control over financial reporting, we may not be able to accurately report our financial results, which could have a material adverse effect on our operations and the trading prices of our securities.</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disclosed in “Item 9A-Controls and Procedures” below, our management identified a material weakness in our internal control over financial reporting related to the effective monitoring and oversight of controls over the completeness, existence, accuracy, valuation and presentation of the income tax provision, including deferred tax assets, valuation allowances, and tax uncertainties.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actively remediating the identified material weakness. If our remediation efforts are insufficient to address the identified material weakness or if additional material weaknesses in our internal controls are discovered in the future, they may adversely affect our ability to record, process, summarize and report financial information timely and accurately and, as a result, our financial statements may contain material misstatements or omissions, which could result in regulatory scrutiny and otherwise have a material adverse effect on our business, financial condition, results of operations or the trading prices of our securities.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3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dual corporate headquarters located in Greensboro, North Carolina and Hillsboro, Oregon. In Greensboro, we have two office buildings (leased), a six-inch wafer production facility (owned), a R&amp;D and prototyping facility (leased) and other leased office space. In Greensboro, we also have a previously idled production facility (leased) that has been reconfigured to perform certain manufacturing operations. In Hillsboro, we have a single facility (owned) that includes office space and a wafer fabrication facility. We also have wafer fabrication facilities in Richardson, Texas (owned), Apopka, Florida (owned) and Bend, Oregon (leased). In the first quarter of fiscal 2017, we acquired an additional wafer fabrication facility in Farmers Branch, Texas, which we currently plan to use to expand our BAW filter capacity.</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assembly and test facilities located in Beijing, China (the building is owned and we hold a land-use right for the land), where we assemble and test modules. During fiscal 2016, we brought a new assembly and test facility in Dezhou, China on-line (the equipment is owned and we lease the land and building)</w:t>
      </w:r>
      <w:r>
        <w:rPr>
          <w:rFonts w:ascii="Arial" w:cs="Arial" w:eastAsia="Arial" w:hAnsi="Arial"/>
          <w:sz w:val="18"/>
          <w:szCs w:val="18"/>
          <w:b w:val="1"/>
          <w:bCs w:val="1"/>
          <w:color w:val="auto"/>
        </w:rPr>
        <w:t>.</w:t>
      </w:r>
      <w:r>
        <w:rPr>
          <w:rFonts w:ascii="Arial" w:cs="Arial" w:eastAsia="Arial" w:hAnsi="Arial"/>
          <w:sz w:val="18"/>
          <w:szCs w:val="18"/>
          <w:color w:val="auto"/>
        </w:rPr>
        <w:t xml:space="preserve"> We operate a filter assembly and test facility in San Jose, Costa Rica (owned). In Broomfield, Colorado (leased), Brooksville, Florida (owned), Richardson, Texas (owned), and the Philippines (leased), we have assembly and test sites for highly customized modules and products, including modules and products that support our aerospace and defense business. We also have a facility capable of supporting a variety of packaging and test technologies in Nuremberg, Germany (leased).</w:t>
      </w:r>
    </w:p>
    <w:p>
      <w:pPr>
        <w:spacing w:after="0" w:line="193"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We lease space for our design centers in Chandler, Arizona; Newberry Park, San Jose, Torrance, California; Broomfield, Colorado; Hiawatha, Iowa; Chelmsford, Massachusetts; High Point, North Carolina; Tokyo, Japan; Shanghai, China; Utrecht, The Netherlands; Zele, Belgium; Munich, Germany; Nørresundby, Denmark; and Colomiers, France. In addition, we lease space for sales and customer support centers in Beijing, Shanghai, and Shenzhen, China; Hong Kong; Reading, England; Bangalore, India; Tokyo, Japan; Seoul, South Korea; Singapore; and Taipei, Taiwan.</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our properties have been well-maintained, are in sound operating condition and contain all equipment and facilities necessary to operate at present levels. We believe all of our facilities are suitable and adequate for our present purposes. We do not identify or allocate assets by operating segment. For information on net property, plant and equipment by country, see Note 15 of the Notes to the Consolidated Financial Statements in Part II, Item 8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 the information under the heading “Legal Matters” in Note 9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common stock is traded on the NASDAQ Global Select Market under the symbol “QRVO.” The table below shows the high and low sales prices of our common stock from the date of the Business Combination through the end of our fiscal year, as reported by The NASDAQ Stock Market LLC. As of May 13, 2016, there were 799 holders of record of our common stock. This number does not include the beneficial owners of unexchanged stock certificates related to the Business Combination or the additional beneficial owners of our common stock who held their shares in street name as of that date.</w:t>
      </w:r>
    </w:p>
    <w:p>
      <w:pPr>
        <w:sectPr>
          <w:pgSz w:w="11900" w:h="16838" w:orient="portrait"/>
          <w:cols w:equalWidth="0" w:num="1">
            <w:col w:w="11400"/>
          </w:cols>
          <w:pgMar w:left="240" w:top="364"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7360" w:type="dxa"/>
            <w:vAlign w:val="bottom"/>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28"/>
        </w:trPr>
        <w:tc>
          <w:tcPr>
            <w:tcW w:w="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0" w:type="dxa"/>
            <w:vAlign w:val="bottom"/>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April 2, 2016</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7280" w:type="dxa"/>
            <w:vAlign w:val="bottom"/>
            <w:gridSpan w:val="2"/>
          </w:tcPr>
          <w:p>
            <w:pPr>
              <w:ind w:left="40"/>
              <w:spacing w:after="0"/>
              <w:rPr>
                <w:sz w:val="20"/>
                <w:szCs w:val="20"/>
                <w:color w:val="auto"/>
              </w:rPr>
            </w:pPr>
            <w:r>
              <w:rPr>
                <w:rFonts w:ascii="Arial" w:cs="Arial" w:eastAsia="Arial" w:hAnsi="Arial"/>
                <w:sz w:val="18"/>
                <w:szCs w:val="18"/>
                <w:color w:val="auto"/>
              </w:rPr>
              <w:t>First Quarter</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88.35</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65.44</w:t>
            </w:r>
          </w:p>
        </w:tc>
      </w:tr>
      <w:tr>
        <w:trPr>
          <w:trHeight w:val="27"/>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82.25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w:t>
            </w:r>
          </w:p>
        </w:tc>
      </w:tr>
      <w:tr>
        <w:trPr>
          <w:trHeight w:val="243"/>
        </w:trPr>
        <w:tc>
          <w:tcPr>
            <w:tcW w:w="80" w:type="dxa"/>
            <w:vAlign w:val="bottom"/>
          </w:tcPr>
          <w:p>
            <w:pPr>
              <w:spacing w:after="0"/>
              <w:rPr>
                <w:sz w:val="21"/>
                <w:szCs w:val="21"/>
                <w:color w:val="auto"/>
              </w:rPr>
            </w:pPr>
          </w:p>
        </w:tc>
        <w:tc>
          <w:tcPr>
            <w:tcW w:w="7280" w:type="dxa"/>
            <w:vAlign w:val="bottom"/>
            <w:gridSpan w:val="2"/>
          </w:tcPr>
          <w:p>
            <w:pPr>
              <w:ind w:left="40"/>
              <w:spacing w:after="0"/>
              <w:rPr>
                <w:sz w:val="20"/>
                <w:szCs w:val="20"/>
                <w:color w:val="auto"/>
              </w:rPr>
            </w:pPr>
            <w:r>
              <w:rPr>
                <w:rFonts w:ascii="Arial" w:cs="Arial" w:eastAsia="Arial" w:hAnsi="Arial"/>
                <w:sz w:val="18"/>
                <w:szCs w:val="18"/>
                <w:color w:val="auto"/>
              </w:rPr>
              <w:t>Third Quarter</w:t>
            </w: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60.00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42.67</w:t>
            </w:r>
          </w:p>
        </w:tc>
      </w:tr>
      <w:tr>
        <w:trPr>
          <w:trHeight w:val="27"/>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7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51.95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33.30</w:t>
            </w:r>
          </w:p>
        </w:tc>
      </w:tr>
      <w:tr>
        <w:trPr>
          <w:trHeight w:val="27"/>
        </w:trPr>
        <w:tc>
          <w:tcPr>
            <w:tcW w:w="8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March 28, 2015</w:t>
            </w:r>
          </w:p>
        </w:tc>
        <w:tc>
          <w:tcPr>
            <w:tcW w:w="3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85.63</w:t>
            </w:r>
          </w:p>
        </w:tc>
        <w:tc>
          <w:tcPr>
            <w:tcW w:w="2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63.02</w:t>
            </w:r>
          </w:p>
        </w:tc>
      </w:tr>
    </w:tbl>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never declared or paid cash dividends on our common stock. Although we currently intend to retain our earnings for use in our business, our future dividend policy with respect to our common stock may change and will depend on our earnings, capital requirements, debt covenants and other factors deemed relevant by our Board of Directors.</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17145</wp:posOffset>
            </wp:positionV>
            <wp:extent cx="5351145" cy="4442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1145"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18"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3900" w:type="dxa"/>
            <w:vAlign w:val="bottom"/>
            <w:gridSpan w:val="2"/>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16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January 2,</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ind w:left="160"/>
              <w:spacing w:after="0"/>
              <w:rPr>
                <w:sz w:val="20"/>
                <w:szCs w:val="20"/>
                <w:color w:val="auto"/>
              </w:rPr>
            </w:pPr>
            <w:r>
              <w:rPr>
                <w:rFonts w:ascii="Arial" w:cs="Arial" w:eastAsia="Arial" w:hAnsi="Arial"/>
                <w:sz w:val="18"/>
                <w:szCs w:val="18"/>
                <w:b w:val="1"/>
                <w:bCs w:val="1"/>
                <w:color w:val="auto"/>
              </w:rPr>
              <w:t>October 3,</w:t>
            </w:r>
          </w:p>
        </w:tc>
        <w:tc>
          <w:tcPr>
            <w:tcW w:w="1220" w:type="dxa"/>
            <w:vAlign w:val="bottom"/>
          </w:tcPr>
          <w:p>
            <w:pPr>
              <w:ind w:left="220"/>
              <w:spacing w:after="0"/>
              <w:rPr>
                <w:sz w:val="20"/>
                <w:szCs w:val="20"/>
                <w:color w:val="auto"/>
              </w:rPr>
            </w:pPr>
            <w:r>
              <w:rPr>
                <w:rFonts w:ascii="Arial" w:cs="Arial" w:eastAsia="Arial" w:hAnsi="Arial"/>
                <w:sz w:val="18"/>
                <w:szCs w:val="18"/>
                <w:b w:val="1"/>
                <w:bCs w:val="1"/>
                <w:color w:val="auto"/>
              </w:rPr>
              <w:t>January 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380" w:type="dxa"/>
            <w:vAlign w:val="bottom"/>
          </w:tcPr>
          <w:p>
            <w:pPr>
              <w:ind w:left="120"/>
              <w:spacing w:after="0"/>
              <w:rPr>
                <w:sz w:val="20"/>
                <w:szCs w:val="20"/>
                <w:color w:val="auto"/>
              </w:rPr>
            </w:pPr>
            <w:r>
              <w:rPr>
                <w:rFonts w:ascii="Arial" w:cs="Arial" w:eastAsia="Arial" w:hAnsi="Arial"/>
                <w:sz w:val="18"/>
                <w:szCs w:val="18"/>
                <w:b w:val="1"/>
                <w:bCs w:val="1"/>
                <w:color w:val="auto"/>
                <w:w w:val="96"/>
              </w:rPr>
              <w:t>March 28, 2015</w:t>
            </w:r>
          </w:p>
        </w:tc>
        <w:tc>
          <w:tcPr>
            <w:tcW w:w="1280" w:type="dxa"/>
            <w:vAlign w:val="bottom"/>
          </w:tcPr>
          <w:p>
            <w:pPr>
              <w:ind w:left="80"/>
              <w:spacing w:after="0"/>
              <w:rPr>
                <w:sz w:val="20"/>
                <w:szCs w:val="20"/>
                <w:color w:val="auto"/>
              </w:rPr>
            </w:pPr>
            <w:r>
              <w:rPr>
                <w:rFonts w:ascii="Arial" w:cs="Arial" w:eastAsia="Arial" w:hAnsi="Arial"/>
                <w:sz w:val="18"/>
                <w:szCs w:val="18"/>
                <w:b w:val="1"/>
                <w:bCs w:val="1"/>
                <w:color w:val="auto"/>
              </w:rPr>
              <w:t>June 27, 2015</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80" w:type="dxa"/>
            <w:vAlign w:val="bottom"/>
          </w:tcPr>
          <w:p>
            <w:pPr>
              <w:ind w:left="160"/>
              <w:spacing w:after="0"/>
              <w:rPr>
                <w:sz w:val="20"/>
                <w:szCs w:val="20"/>
                <w:color w:val="auto"/>
              </w:rPr>
            </w:pPr>
            <w:r>
              <w:rPr>
                <w:rFonts w:ascii="Arial" w:cs="Arial" w:eastAsia="Arial" w:hAnsi="Arial"/>
                <w:sz w:val="18"/>
                <w:szCs w:val="18"/>
                <w:b w:val="1"/>
                <w:bCs w:val="1"/>
                <w:color w:val="auto"/>
              </w:rPr>
              <w:t>April 2, 2016</w:t>
            </w:r>
          </w:p>
        </w:tc>
        <w:tc>
          <w:tcPr>
            <w:tcW w:w="0" w:type="dxa"/>
            <w:vAlign w:val="bottom"/>
          </w:tcPr>
          <w:p>
            <w:pPr>
              <w:spacing w:after="0"/>
              <w:rPr>
                <w:sz w:val="1"/>
                <w:szCs w:val="1"/>
                <w:color w:val="auto"/>
              </w:rPr>
            </w:pPr>
          </w:p>
        </w:tc>
      </w:tr>
      <w:tr>
        <w:trPr>
          <w:trHeight w:val="27"/>
        </w:trPr>
        <w:tc>
          <w:tcPr>
            <w:tcW w:w="39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 Return Index for:</w:t>
            </w: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Qorvo, Inc.</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112.61</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114.22</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63.86</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72.30</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72.19</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NASDAQ Composite</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103.33</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105.49</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97.60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105.86</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103.28</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S&amp;P 500</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100.95</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101.23</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94.71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101.38</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102.75</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NASDAQ Electronic Components</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99.37</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94.72</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86.12</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97.89</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97.58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7" w:lineRule="exact"/>
        <w:rPr>
          <w:sz w:val="20"/>
          <w:szCs w:val="20"/>
          <w:color w:val="auto"/>
        </w:rPr>
      </w:pPr>
    </w:p>
    <w:p>
      <w:pPr>
        <w:ind w:left="260" w:right="460" w:hanging="242"/>
        <w:spacing w:after="0" w:line="250" w:lineRule="auto"/>
        <w:rPr>
          <w:sz w:val="20"/>
          <w:szCs w:val="20"/>
          <w:color w:val="auto"/>
        </w:rPr>
      </w:pPr>
      <w:r>
        <w:rPr>
          <w:rFonts w:ascii="Arial" w:cs="Arial" w:eastAsia="Arial" w:hAnsi="Arial"/>
          <w:sz w:val="18"/>
          <w:szCs w:val="18"/>
          <w:color w:val="auto"/>
        </w:rPr>
        <w:t>A. The index level for all series assumes that $100.00 was invested in our common stock and each index on January 2, 2015, the registration date of our common stock under Rule 12g-3(c) of the Exchange Act.</w:t>
      </w:r>
    </w:p>
    <w:p>
      <w:pPr>
        <w:spacing w:after="0" w:line="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lines represent monthly index levels derived from compounded daily returns, assuming reinvestment of all dividends.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indexes are reweighted daily using the market capitalization on the previous trading day.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month end is not a trading day, the preceding trading day is used.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Qorvo, Inc. was added to the S&amp;P 500 Index on June 12, 2015.</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109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3"/>
          <w:szCs w:val="13"/>
          <w:color w:val="auto"/>
        </w:rPr>
        <w:t>January 3, 2016 to January 30, 2016</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2"/>
          <w:szCs w:val="12"/>
          <w:color w:val="auto"/>
        </w:rPr>
        <w:t>January 31, 2016 to February 27, 2016</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February 28, 2016 to April 2, 2016</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Purchases of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5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Approximate dollar value of shares</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purchased as part of publicly</w:t>
            </w:r>
          </w:p>
        </w:tc>
        <w:tc>
          <w:tcPr>
            <w:tcW w:w="1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w w:val="94"/>
              </w:rPr>
              <w:t>that may yet be purchased under</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12"/>
                <w:szCs w:val="12"/>
                <w:b w:val="1"/>
                <w:bCs w:val="1"/>
                <w:color w:val="auto"/>
                <w:w w:val="89"/>
              </w:rPr>
              <w:t>(in</w:t>
            </w: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plans or programs </w:t>
            </w:r>
            <w:r>
              <w:rPr>
                <w:rFonts w:ascii="Arial" w:cs="Arial" w:eastAsia="Arial" w:hAnsi="Arial"/>
                <w:sz w:val="12"/>
                <w:szCs w:val="12"/>
                <w:b w:val="1"/>
                <w:bCs w:val="1"/>
                <w:color w:val="auto"/>
                <w:w w:val="90"/>
              </w:rPr>
              <w:t>(in</w:t>
            </w:r>
          </w:p>
        </w:tc>
        <w:tc>
          <w:tcPr>
            <w:tcW w:w="1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jc w:val="right"/>
              <w:ind w:right="45"/>
              <w:spacing w:after="0"/>
              <w:rPr>
                <w:sz w:val="20"/>
                <w:szCs w:val="20"/>
                <w:color w:val="auto"/>
              </w:rPr>
            </w:pPr>
            <w:r>
              <w:rPr>
                <w:rFonts w:ascii="Arial" w:cs="Arial" w:eastAsia="Arial" w:hAnsi="Arial"/>
                <w:sz w:val="16"/>
                <w:szCs w:val="16"/>
                <w:b w:val="1"/>
                <w:bCs w:val="1"/>
                <w:color w:val="auto"/>
                <w:w w:val="91"/>
              </w:rPr>
              <w:t>paid per share</w:t>
            </w:r>
          </w:p>
        </w:tc>
        <w:tc>
          <w:tcPr>
            <w:tcW w:w="100" w:type="dxa"/>
            <w:vAlign w:val="bottom"/>
            <w:vMerge w:val="restart"/>
          </w:tcPr>
          <w:p>
            <w:pPr>
              <w:spacing w:after="0"/>
              <w:rPr>
                <w:sz w:val="5"/>
                <w:szCs w:val="5"/>
                <w:color w:val="auto"/>
              </w:rPr>
            </w:pPr>
          </w:p>
        </w:tc>
        <w:tc>
          <w:tcPr>
            <w:tcW w:w="2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restart"/>
          </w:tcPr>
          <w:p>
            <w:pPr>
              <w:jc w:val="right"/>
              <w:ind w:right="404"/>
              <w:spacing w:after="0"/>
              <w:rPr>
                <w:sz w:val="20"/>
                <w:szCs w:val="20"/>
                <w:color w:val="auto"/>
              </w:rPr>
            </w:pPr>
            <w:r>
              <w:rPr>
                <w:rFonts w:ascii="Arial" w:cs="Arial" w:eastAsia="Arial" w:hAnsi="Arial"/>
                <w:sz w:val="16"/>
                <w:szCs w:val="16"/>
                <w:b w:val="1"/>
                <w:bCs w:val="1"/>
                <w:color w:val="auto"/>
              </w:rPr>
              <w:t>the plans or programs</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$750.0 million</w:t>
            </w:r>
          </w:p>
        </w:tc>
        <w:tc>
          <w:tcPr>
            <w:tcW w:w="0" w:type="dxa"/>
            <w:vAlign w:val="bottom"/>
          </w:tcPr>
          <w:p>
            <w:pPr>
              <w:spacing w:after="0"/>
              <w:rPr>
                <w:sz w:val="1"/>
                <w:szCs w:val="1"/>
                <w:color w:val="auto"/>
              </w:rPr>
            </w:pPr>
          </w:p>
        </w:tc>
      </w:tr>
      <w:tr>
        <w:trPr>
          <w:trHeight w:val="230"/>
        </w:trPr>
        <w:tc>
          <w:tcPr>
            <w:tcW w:w="1500" w:type="dxa"/>
            <w:vAlign w:val="bottom"/>
          </w:tcPr>
          <w:p>
            <w:pPr>
              <w:jc w:val="right"/>
              <w:ind w:right="67"/>
              <w:spacing w:after="0"/>
              <w:rPr>
                <w:sz w:val="20"/>
                <w:szCs w:val="20"/>
                <w:color w:val="auto"/>
              </w:rPr>
            </w:pPr>
            <w:r>
              <w:rPr>
                <w:rFonts w:ascii="Arial" w:cs="Arial" w:eastAsia="Arial" w:hAnsi="Arial"/>
                <w:sz w:val="14"/>
                <w:szCs w:val="14"/>
                <w:color w:val="auto"/>
              </w:rPr>
              <w:t>7,970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5"/>
              <w:spacing w:after="0"/>
              <w:rPr>
                <w:sz w:val="20"/>
                <w:szCs w:val="20"/>
                <w:color w:val="auto"/>
              </w:rPr>
            </w:pPr>
            <w:r>
              <w:rPr>
                <w:rFonts w:ascii="Arial" w:cs="Arial" w:eastAsia="Arial" w:hAnsi="Arial"/>
                <w:sz w:val="14"/>
                <w:szCs w:val="14"/>
                <w:color w:val="auto"/>
              </w:rPr>
              <w:t>40.78</w:t>
            </w:r>
          </w:p>
        </w:tc>
        <w:tc>
          <w:tcPr>
            <w:tcW w:w="100" w:type="dxa"/>
            <w:vAlign w:val="bottom"/>
          </w:tcPr>
          <w:p>
            <w:pPr>
              <w:spacing w:after="0"/>
              <w:rPr>
                <w:sz w:val="19"/>
                <w:szCs w:val="19"/>
                <w:color w:val="auto"/>
              </w:rPr>
            </w:pPr>
          </w:p>
        </w:tc>
        <w:tc>
          <w:tcPr>
            <w:tcW w:w="2400" w:type="dxa"/>
            <w:vAlign w:val="bottom"/>
          </w:tcPr>
          <w:p>
            <w:pPr>
              <w:jc w:val="right"/>
              <w:ind w:right="46"/>
              <w:spacing w:after="0"/>
              <w:rPr>
                <w:sz w:val="20"/>
                <w:szCs w:val="20"/>
                <w:color w:val="auto"/>
              </w:rPr>
            </w:pPr>
            <w:r>
              <w:rPr>
                <w:rFonts w:ascii="Arial" w:cs="Arial" w:eastAsia="Arial" w:hAnsi="Arial"/>
                <w:sz w:val="14"/>
                <w:szCs w:val="14"/>
                <w:color w:val="auto"/>
              </w:rPr>
              <w:t>7,970</w:t>
            </w:r>
          </w:p>
        </w:tc>
        <w:tc>
          <w:tcPr>
            <w:tcW w:w="1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$425.0 million</w:t>
            </w:r>
          </w:p>
        </w:tc>
        <w:tc>
          <w:tcPr>
            <w:tcW w:w="0" w:type="dxa"/>
            <w:vAlign w:val="bottom"/>
          </w:tcPr>
          <w:p>
            <w:pPr>
              <w:spacing w:after="0"/>
              <w:rPr>
                <w:sz w:val="1"/>
                <w:szCs w:val="1"/>
                <w:color w:val="auto"/>
              </w:rPr>
            </w:pPr>
          </w:p>
        </w:tc>
      </w:tr>
      <w:tr>
        <w:trPr>
          <w:trHeight w:val="270"/>
        </w:trPr>
        <w:tc>
          <w:tcPr>
            <w:tcW w:w="1500" w:type="dxa"/>
            <w:vAlign w:val="bottom"/>
          </w:tcPr>
          <w:p>
            <w:pPr>
              <w:jc w:val="right"/>
              <w:ind w:right="67"/>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5"/>
              <w:spacing w:after="0"/>
              <w:rPr>
                <w:sz w:val="20"/>
                <w:szCs w:val="20"/>
                <w:color w:val="auto"/>
              </w:rPr>
            </w:pPr>
            <w:r>
              <w:rPr>
                <w:rFonts w:ascii="Arial" w:cs="Arial" w:eastAsia="Arial" w:hAnsi="Arial"/>
                <w:sz w:val="14"/>
                <w:szCs w:val="14"/>
                <w:color w:val="auto"/>
              </w:rPr>
              <w:t>40.78</w:t>
            </w:r>
          </w:p>
        </w:tc>
        <w:tc>
          <w:tcPr>
            <w:tcW w:w="100" w:type="dxa"/>
            <w:vAlign w:val="bottom"/>
          </w:tcPr>
          <w:p>
            <w:pPr>
              <w:spacing w:after="0"/>
              <w:rPr>
                <w:sz w:val="23"/>
                <w:szCs w:val="23"/>
                <w:color w:val="auto"/>
              </w:rPr>
            </w:pPr>
          </w:p>
        </w:tc>
        <w:tc>
          <w:tcPr>
            <w:tcW w:w="2400" w:type="dxa"/>
            <w:vAlign w:val="bottom"/>
          </w:tcPr>
          <w:p>
            <w:pPr>
              <w:jc w:val="right"/>
              <w:ind w:right="46"/>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$250.0 million</w:t>
            </w:r>
          </w:p>
        </w:tc>
        <w:tc>
          <w:tcPr>
            <w:tcW w:w="0" w:type="dxa"/>
            <w:vAlign w:val="bottom"/>
          </w:tcPr>
          <w:p>
            <w:pPr>
              <w:spacing w:after="0"/>
              <w:rPr>
                <w:sz w:val="1"/>
                <w:szCs w:val="1"/>
                <w:color w:val="auto"/>
              </w:rPr>
            </w:pPr>
          </w:p>
        </w:tc>
      </w:tr>
      <w:tr>
        <w:trPr>
          <w:trHeight w:val="53"/>
        </w:trPr>
        <w:tc>
          <w:tcPr>
            <w:tcW w:w="1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9,984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40.78</w:t>
            </w:r>
          </w:p>
        </w:tc>
        <w:tc>
          <w:tcPr>
            <w:tcW w:w="100" w:type="dxa"/>
            <w:vAlign w:val="bottom"/>
          </w:tcPr>
          <w:p>
            <w:pPr>
              <w:spacing w:after="0"/>
              <w:rPr>
                <w:sz w:val="21"/>
                <w:szCs w:val="21"/>
                <w:color w:val="auto"/>
              </w:rPr>
            </w:pPr>
          </w:p>
        </w:tc>
        <w:tc>
          <w:tcPr>
            <w:tcW w:w="24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9,984</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$250.0 million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740" w:space="720"/>
            <w:col w:w="7960"/>
          </w:cols>
          <w:pgMar w:left="240" w:top="118" w:right="239" w:bottom="1440" w:gutter="0" w:footer="0" w:header="0"/>
          <w:type w:val="continuous"/>
        </w:sectPr>
      </w:pPr>
    </w:p>
    <w:p>
      <w:pPr>
        <w:spacing w:after="0" w:line="8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November 5, 2015, we announced that our Board of Directors authorized a share repurchase program to repurchase up to $1.0 billion of our outstanding common stock through November 4, 2016. Under the share repurchase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and may be modified, suspended or terminated at any time without prior notice. During the third quarter of fiscal 2016, we repurchased approximately 4.6 million shares of our common stock for approximately $250.0 million. During the fourth quarter of fiscal 2016, we repurchased approximately 10.0 million shares of our common stock for approximately $500.0 million. The amounts for the fourth quarter of fiscal 2016 reflect shares repurchased pursuant to variable maturity accelerated share repurchase ("ASR") agreements we entered into with Bank of America, N.A. on February 16, 2016 as part of the $1.0 billion share repurchase program described above. At April 2, 2016, approximately $250.0 million remains available for future repurchases under the $1.0 billion authorization (see Note 14 of the Notes to the Consolidated Financial Statements set forth in Part II, Item 8 of this report for a further discussion of our share repurchase program, including our ASR agreements).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selected financial data set forth below for the fiscal years indicated were derived from our audited consolidated financial statements. The information should be read in conjunction with our consolidated financial statements and with “Management’s Discussion and Analysis of Financial Condition and Results of Operations” appearing in Item 7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395"/>
              <w:spacing w:after="0"/>
              <w:rPr>
                <w:sz w:val="20"/>
                <w:szCs w:val="20"/>
                <w:color w:val="auto"/>
              </w:rPr>
            </w:pPr>
            <w:r>
              <w:rPr>
                <w:rFonts w:ascii="Arial" w:cs="Arial" w:eastAsia="Arial" w:hAnsi="Arial"/>
                <w:sz w:val="18"/>
                <w:szCs w:val="18"/>
                <w:b w:val="1"/>
                <w:bCs w:val="1"/>
                <w:color w:val="auto"/>
                <w:w w:val="90"/>
              </w:rPr>
              <w:t>Fiscal Year End</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20"/>
                <w:szCs w:val="20"/>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2,610,726</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1,710,966</w:t>
            </w:r>
          </w:p>
        </w:tc>
        <w:tc>
          <w:tcPr>
            <w:tcW w:w="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1,148,231</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964,147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871,352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1,561,173</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1,021,658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743,304</w:t>
            </w: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658,332</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582,586</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448,763</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257,494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197,269</w:t>
            </w:r>
          </w:p>
        </w:tc>
        <w:tc>
          <w:tcPr>
            <w:tcW w:w="620" w:type="dxa"/>
            <w:vAlign w:val="bottom"/>
          </w:tcPr>
          <w:p>
            <w:pPr>
              <w:spacing w:after="0"/>
              <w:rPr>
                <w:sz w:val="21"/>
                <w:szCs w:val="21"/>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178,793</w:t>
            </w:r>
          </w:p>
        </w:tc>
        <w:tc>
          <w:tcPr>
            <w:tcW w:w="340" w:type="dxa"/>
            <w:vAlign w:val="bottom"/>
          </w:tcPr>
          <w:p>
            <w:pPr>
              <w:spacing w:after="0"/>
              <w:rPr>
                <w:sz w:val="21"/>
                <w:szCs w:val="21"/>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151,697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selling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420,467</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164,657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74,672</w:t>
            </w: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68,674</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63,217</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113,632</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85,229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76,732</w:t>
            </w:r>
          </w:p>
        </w:tc>
        <w:tc>
          <w:tcPr>
            <w:tcW w:w="620" w:type="dxa"/>
            <w:vAlign w:val="bottom"/>
          </w:tcPr>
          <w:p>
            <w:pPr>
              <w:spacing w:after="0"/>
              <w:rPr>
                <w:sz w:val="21"/>
                <w:szCs w:val="21"/>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64,242</w:t>
            </w:r>
          </w:p>
        </w:tc>
        <w:tc>
          <w:tcPr>
            <w:tcW w:w="340" w:type="dxa"/>
            <w:vAlign w:val="bottom"/>
          </w:tcPr>
          <w:p>
            <w:pPr>
              <w:spacing w:after="0"/>
              <w:rPr>
                <w:sz w:val="21"/>
                <w:szCs w:val="21"/>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50,107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54,723</w:t>
            </w: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28,913</w:t>
            </w:r>
          </w:p>
        </w:tc>
        <w:tc>
          <w:tcPr>
            <w:tcW w:w="62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3"/>
                <w:szCs w:val="13"/>
                <w:color w:val="auto"/>
              </w:rPr>
              <w:t>(3)</w:t>
            </w: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9,786</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2,598,758</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1,588,500</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1,120,890</w:t>
            </w:r>
          </w:p>
        </w:tc>
        <w:tc>
          <w:tcPr>
            <w:tcW w:w="6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979,827</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846,709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11,968</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27,341</w:t>
            </w: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(15,680)</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24,643</w:t>
            </w:r>
          </w:p>
        </w:tc>
        <w:tc>
          <w:tcPr>
            <w:tcW w:w="0" w:type="dxa"/>
            <w:vAlign w:val="bottom"/>
          </w:tcPr>
          <w:p>
            <w:pPr>
              <w:spacing w:after="0"/>
              <w:rPr>
                <w:sz w:val="1"/>
                <w:szCs w:val="1"/>
                <w:color w:val="auto"/>
              </w:rPr>
            </w:pPr>
          </w:p>
        </w:tc>
      </w:tr>
      <w:tr>
        <w:trPr>
          <w:trHeight w:val="297"/>
        </w:trPr>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(6,532)</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(10,997)</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2,068</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620" w:type="dxa"/>
            <w:vAlign w:val="bottom"/>
          </w:tcPr>
          <w:p>
            <w:pPr>
              <w:spacing w:after="0"/>
              <w:rPr>
                <w:sz w:val="21"/>
                <w:szCs w:val="21"/>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1"/>
                <w:szCs w:val="21"/>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6,418</w:t>
            </w: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c>
          <w:tcPr>
            <w:tcW w:w="6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(3,936)</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121,241</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23,873</w:t>
            </w:r>
          </w:p>
        </w:tc>
        <w:tc>
          <w:tcPr>
            <w:tcW w:w="6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(25,899)</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15,628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(25,983)</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(10)</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6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line="270" w:lineRule="exact"/>
              <w:rPr>
                <w:sz w:val="20"/>
                <w:szCs w:val="20"/>
                <w:color w:val="auto"/>
              </w:rPr>
            </w:pPr>
            <w:r>
              <w:rPr>
                <w:rFonts w:ascii="Arial" w:cs="Arial" w:eastAsia="Arial" w:hAnsi="Arial"/>
                <w:sz w:val="18"/>
                <w:szCs w:val="18"/>
                <w:color w:val="auto"/>
              </w:rPr>
              <w:t xml:space="preserve">(27,100) </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0"/>
              <w:spacing w:after="0" w:line="270" w:lineRule="exact"/>
              <w:rPr>
                <w:sz w:val="20"/>
                <w:szCs w:val="20"/>
                <w:color w:val="auto"/>
              </w:rPr>
            </w:pPr>
            <w:r>
              <w:rPr>
                <w:rFonts w:ascii="Arial" w:cs="Arial" w:eastAsia="Arial" w:hAnsi="Arial"/>
                <w:sz w:val="18"/>
                <w:szCs w:val="18"/>
                <w:color w:val="auto"/>
              </w:rPr>
              <w:t xml:space="preserve">(14,771)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97"/>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196,303</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12,642</w:t>
            </w: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(52,999)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(0.76)</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(0.76)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40"/>
              <w:spacing w:after="0"/>
              <w:rPr>
                <w:sz w:val="20"/>
                <w:szCs w:val="20"/>
                <w:color w:val="auto"/>
              </w:rPr>
            </w:pPr>
            <w:r>
              <w:rPr>
                <w:rFonts w:ascii="Arial" w:cs="Arial" w:eastAsia="Arial" w:hAnsi="Arial"/>
                <w:sz w:val="18"/>
                <w:szCs w:val="18"/>
                <w:color w:val="auto"/>
                <w:w w:val="97"/>
              </w:rPr>
              <w:t>Weighted average shares of common stock</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141,937</w:t>
            </w: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90,477</w:t>
            </w:r>
          </w:p>
        </w:tc>
        <w:tc>
          <w:tcPr>
            <w:tcW w:w="2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70,499</w:t>
            </w:r>
          </w:p>
        </w:tc>
        <w:tc>
          <w:tcPr>
            <w:tcW w:w="6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69,650</w:t>
            </w: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69,072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141,937</w:t>
            </w: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93,211</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72,019</w:t>
            </w: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69,650</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70,644</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3"/>
          </w:tcPr>
          <w:p>
            <w:pPr>
              <w:jc w:val="right"/>
              <w:ind w:right="175"/>
              <w:spacing w:after="0"/>
              <w:rPr>
                <w:sz w:val="20"/>
                <w:szCs w:val="20"/>
                <w:color w:val="auto"/>
              </w:rPr>
            </w:pPr>
            <w:r>
              <w:rPr>
                <w:rFonts w:ascii="Arial" w:cs="Arial" w:eastAsia="Arial" w:hAnsi="Arial"/>
                <w:sz w:val="18"/>
                <w:szCs w:val="18"/>
                <w:b w:val="1"/>
                <w:bCs w:val="1"/>
                <w:color w:val="auto"/>
                <w:w w:val="91"/>
              </w:rPr>
              <w:t>As of Fiscal Year End</w:t>
            </w: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6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425,881</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299,814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171,898</w:t>
            </w:r>
          </w:p>
        </w:tc>
        <w:tc>
          <w:tcPr>
            <w:tcW w:w="6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101,662</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135,524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186,808</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244,830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72,067</w:t>
            </w: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77,987</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164,863</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1,135,409</w:t>
            </w:r>
          </w:p>
        </w:tc>
        <w:tc>
          <w:tcPr>
            <w:tcW w:w="620" w:type="dxa"/>
            <w:vAlign w:val="bottom"/>
          </w:tcPr>
          <w:p>
            <w:pPr>
              <w:ind w:left="40"/>
              <w:spacing w:after="0"/>
              <w:rPr>
                <w:sz w:val="20"/>
                <w:szCs w:val="20"/>
                <w:color w:val="auto"/>
              </w:rPr>
            </w:pPr>
            <w:r>
              <w:rPr>
                <w:rFonts w:ascii="Arial" w:cs="Arial" w:eastAsia="Arial" w:hAnsi="Arial"/>
                <w:sz w:val="13"/>
                <w:szCs w:val="13"/>
                <w:color w:val="auto"/>
              </w:rPr>
              <w:t>(11)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1,174,795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317,445</w:t>
            </w:r>
          </w:p>
        </w:tc>
        <w:tc>
          <w:tcPr>
            <w:tcW w:w="620" w:type="dxa"/>
            <w:vAlign w:val="bottom"/>
          </w:tcPr>
          <w:p>
            <w:pPr>
              <w:spacing w:after="0"/>
              <w:rPr>
                <w:sz w:val="21"/>
                <w:szCs w:val="21"/>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330,523</w:t>
            </w:r>
          </w:p>
        </w:tc>
        <w:tc>
          <w:tcPr>
            <w:tcW w:w="340" w:type="dxa"/>
            <w:vAlign w:val="bottom"/>
          </w:tcPr>
          <w:p>
            <w:pPr>
              <w:spacing w:after="0"/>
              <w:rPr>
                <w:sz w:val="21"/>
                <w:szCs w:val="21"/>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421,182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6,596,819</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6,892,379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920,312</w:t>
            </w:r>
          </w:p>
        </w:tc>
        <w:tc>
          <w:tcPr>
            <w:tcW w:w="6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931,999</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964,584</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w w:val="93"/>
              </w:rPr>
              <w:t>Long-term debt and capital lease obligations,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988,130</w:t>
            </w:r>
          </w:p>
        </w:tc>
        <w:tc>
          <w:tcPr>
            <w:tcW w:w="620" w:type="dxa"/>
            <w:vAlign w:val="bottom"/>
          </w:tcPr>
          <w:p>
            <w:pPr>
              <w:ind w:left="40"/>
              <w:spacing w:after="0"/>
              <w:rPr>
                <w:sz w:val="20"/>
                <w:szCs w:val="20"/>
                <w:color w:val="auto"/>
              </w:rPr>
            </w:pPr>
            <w:r>
              <w:rPr>
                <w:rFonts w:ascii="Arial" w:cs="Arial" w:eastAsia="Arial" w:hAnsi="Arial"/>
                <w:sz w:val="13"/>
                <w:szCs w:val="13"/>
                <w:color w:val="auto"/>
              </w:rPr>
              <w:t>(9)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82,123</w:t>
            </w:r>
          </w:p>
        </w:tc>
        <w:tc>
          <w:tcPr>
            <w:tcW w:w="340" w:type="dxa"/>
            <w:vAlign w:val="bottom"/>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119,102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4,999,672</w:t>
            </w: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6,173,160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676,351</w:t>
            </w:r>
          </w:p>
        </w:tc>
        <w:tc>
          <w:tcPr>
            <w:tcW w:w="6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639,014</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672,331</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1 Income tax expense for fiscal 2012 includes the effects of an increase of a valuation allowance against foreign net deferred tax assets.</w:t>
      </w:r>
    </w:p>
    <w:p>
      <w:pPr>
        <w:spacing w:after="0" w:line="96" w:lineRule="exact"/>
        <w:rPr>
          <w:sz w:val="20"/>
          <w:szCs w:val="20"/>
          <w:color w:val="auto"/>
        </w:rPr>
      </w:pPr>
    </w:p>
    <w:p>
      <w:pPr>
        <w:jc w:val="both"/>
        <w:ind w:left="120" w:hanging="107"/>
        <w:spacing w:after="0" w:line="273" w:lineRule="auto"/>
        <w:rPr>
          <w:sz w:val="20"/>
          <w:szCs w:val="20"/>
          <w:color w:val="auto"/>
        </w:rPr>
      </w:pPr>
      <w:r>
        <w:rPr>
          <w:rFonts w:ascii="Arial" w:cs="Arial" w:eastAsia="Arial" w:hAnsi="Arial"/>
          <w:sz w:val="14"/>
          <w:szCs w:val="14"/>
          <w:color w:val="auto"/>
        </w:rPr>
        <w:t>2 Income tax expense for fiscal 2013 includes the effects of an increase of a valuation allowance against domestic net deferred tax assets and the U.K. net deferred tax asset as a result of the decision to phase out manufacturing at our U.K. facility.</w:t>
      </w:r>
    </w:p>
    <w:p>
      <w:pPr>
        <w:spacing w:after="0" w:line="52" w:lineRule="exact"/>
        <w:rPr>
          <w:sz w:val="20"/>
          <w:szCs w:val="20"/>
          <w:color w:val="auto"/>
        </w:rPr>
      </w:pPr>
    </w:p>
    <w:p>
      <w:pPr>
        <w:ind w:left="120" w:right="40" w:hanging="107"/>
        <w:spacing w:after="0" w:line="273" w:lineRule="auto"/>
        <w:rPr>
          <w:sz w:val="20"/>
          <w:szCs w:val="20"/>
          <w:color w:val="auto"/>
        </w:rPr>
      </w:pPr>
      <w:r>
        <w:rPr>
          <w:rFonts w:ascii="Arial" w:cs="Arial" w:eastAsia="Arial" w:hAnsi="Arial"/>
          <w:sz w:val="14"/>
          <w:szCs w:val="14"/>
          <w:color w:val="auto"/>
        </w:rPr>
        <w:t>3 Other operating expense (income) includes the impairment of intangible assets of $11.3 million and restructuring expenses of $11.1 million (see Note 10 of the Notes to the Consolidated Financial Statements), as well as acquisition related expenses of $5.1 million (see Note 5 of the Notes to the Consolidated Financial Statements).</w:t>
      </w:r>
    </w:p>
    <w:p>
      <w:pPr>
        <w:sectPr>
          <w:pgSz w:w="11900" w:h="16838" w:orient="portrait"/>
          <w:cols w:equalWidth="0" w:num="1">
            <w:col w:w="11400"/>
          </w:cols>
          <w:pgMar w:left="240" w:top="130" w:right="25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30" w:right="25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9" w:lineRule="exact"/>
        <w:rPr>
          <w:sz w:val="20"/>
          <w:szCs w:val="20"/>
          <w:color w:val="auto"/>
        </w:rPr>
      </w:pPr>
    </w:p>
    <w:p>
      <w:pPr>
        <w:ind w:left="120" w:right="180" w:hanging="107"/>
        <w:spacing w:after="0" w:line="273" w:lineRule="auto"/>
        <w:rPr>
          <w:sz w:val="20"/>
          <w:szCs w:val="20"/>
          <w:color w:val="auto"/>
        </w:rPr>
      </w:pPr>
      <w:r>
        <w:rPr>
          <w:rFonts w:ascii="Arial" w:cs="Arial" w:eastAsia="Arial" w:hAnsi="Arial"/>
          <w:sz w:val="14"/>
          <w:szCs w:val="14"/>
          <w:color w:val="auto"/>
        </w:rPr>
        <w:t>4 As a result of the Business Combination, which was completed on January 1, 2015, fiscal 2015 results include the results of TriQuint as of March 28, 2015 and for the period of January 1, 2015 through March 28, 2015.</w:t>
      </w:r>
    </w:p>
    <w:p>
      <w:pPr>
        <w:spacing w:after="0" w:line="52" w:lineRule="exact"/>
        <w:rPr>
          <w:sz w:val="20"/>
          <w:szCs w:val="20"/>
          <w:color w:val="auto"/>
        </w:rPr>
      </w:pPr>
    </w:p>
    <w:p>
      <w:pPr>
        <w:ind w:left="120" w:right="400" w:hanging="107"/>
        <w:spacing w:after="0" w:line="273" w:lineRule="auto"/>
        <w:rPr>
          <w:sz w:val="20"/>
          <w:szCs w:val="20"/>
          <w:color w:val="auto"/>
        </w:rPr>
      </w:pPr>
      <w:r>
        <w:rPr>
          <w:rFonts w:ascii="Arial" w:cs="Arial" w:eastAsia="Arial" w:hAnsi="Arial"/>
          <w:sz w:val="14"/>
          <w:szCs w:val="14"/>
          <w:color w:val="auto"/>
        </w:rPr>
        <w:t>5 Other operating expense (income) includes acquisition and integration related expenses of $43.5 million (see Note 5 of the Notes to the Consolidated Financial Statements) and restructuring expenses of $10.9 million associated with the Business Combination (see Note 10 of the Notes to the Consolidated Financial Statements).</w:t>
      </w:r>
    </w:p>
    <w:p>
      <w:pPr>
        <w:spacing w:after="0" w:line="52"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6 Income tax benefit for fiscal 2015 includes the effects of the income tax benefit generated by the reduction in the valuation allowance against domestic deferred tax assets (see Note 11 of the Notes to the Consolidated Financial Statements).</w:t>
      </w:r>
    </w:p>
    <w:p>
      <w:pPr>
        <w:spacing w:after="0" w:line="52" w:lineRule="exact"/>
        <w:rPr>
          <w:sz w:val="20"/>
          <w:szCs w:val="20"/>
          <w:color w:val="auto"/>
        </w:rPr>
      </w:pPr>
    </w:p>
    <w:p>
      <w:pPr>
        <w:ind w:left="120" w:right="420" w:hanging="107"/>
        <w:spacing w:after="0" w:line="273" w:lineRule="auto"/>
        <w:rPr>
          <w:sz w:val="20"/>
          <w:szCs w:val="20"/>
          <w:color w:val="auto"/>
        </w:rPr>
      </w:pPr>
      <w:r>
        <w:rPr>
          <w:rFonts w:ascii="Arial" w:cs="Arial" w:eastAsia="Arial" w:hAnsi="Arial"/>
          <w:sz w:val="14"/>
          <w:szCs w:val="14"/>
          <w:color w:val="auto"/>
        </w:rPr>
        <w:t>7 Total assets include goodwill and intangible assets totaling approximately $4,430.7 million associated with the Business Combination (see Note 5 of the Notes to the Consolidated Financial Statements).</w:t>
      </w:r>
    </w:p>
    <w:p>
      <w:pPr>
        <w:spacing w:after="0" w:line="52" w:lineRule="exact"/>
        <w:rPr>
          <w:sz w:val="20"/>
          <w:szCs w:val="20"/>
          <w:color w:val="auto"/>
        </w:rPr>
      </w:pPr>
    </w:p>
    <w:p>
      <w:pPr>
        <w:ind w:left="120" w:right="240" w:hanging="107"/>
        <w:spacing w:after="0" w:line="273" w:lineRule="auto"/>
        <w:rPr>
          <w:sz w:val="20"/>
          <w:szCs w:val="20"/>
          <w:color w:val="auto"/>
        </w:rPr>
      </w:pPr>
      <w:r>
        <w:rPr>
          <w:rFonts w:ascii="Arial" w:cs="Arial" w:eastAsia="Arial" w:hAnsi="Arial"/>
          <w:sz w:val="14"/>
          <w:szCs w:val="14"/>
          <w:color w:val="auto"/>
        </w:rPr>
        <w:t>8 Other operating expense (income) includes integration related expenses of $26.5 million (see Note 5 of the Notes to the Consolidated Financial Statements) and restructuring expenses of $10.1 million (including stock-based compensation) associated with the Business Combination (see Note 10 of the Notes to the Consolidated Financial Statements).</w:t>
      </w:r>
    </w:p>
    <w:p>
      <w:pPr>
        <w:spacing w:after="0" w:line="52" w:lineRule="exact"/>
        <w:rPr>
          <w:sz w:val="20"/>
          <w:szCs w:val="20"/>
          <w:color w:val="auto"/>
        </w:rPr>
      </w:pPr>
    </w:p>
    <w:p>
      <w:pPr>
        <w:ind w:left="120" w:right="260" w:hanging="107"/>
        <w:spacing w:after="0" w:line="312" w:lineRule="auto"/>
        <w:rPr>
          <w:sz w:val="20"/>
          <w:szCs w:val="20"/>
          <w:color w:val="auto"/>
        </w:rPr>
      </w:pPr>
      <w:r>
        <w:rPr>
          <w:rFonts w:ascii="Arial" w:cs="Arial" w:eastAsia="Arial" w:hAnsi="Arial"/>
          <w:sz w:val="13"/>
          <w:szCs w:val="13"/>
          <w:color w:val="auto"/>
        </w:rPr>
        <w:t>9 During fiscal 2016, we issued $450.0 million aggregate principal amount of 6.75% Senior Notes due 2023 and $550.0 million aggregate principal amount of 7.00% Senior Notes due 2025 and recorded $25.8 million of related interest expense, which was offset by $5.2 million of capitalized interest (see Note 7 of the Notes to the Consolidated Financial Statements).</w:t>
      </w:r>
    </w:p>
    <w:p>
      <w:pPr>
        <w:spacing w:after="0" w:line="30" w:lineRule="exact"/>
        <w:rPr>
          <w:sz w:val="20"/>
          <w:szCs w:val="20"/>
          <w:color w:val="auto"/>
        </w:rPr>
      </w:pPr>
    </w:p>
    <w:p>
      <w:pPr>
        <w:ind w:left="120" w:right="160" w:hanging="107"/>
        <w:spacing w:after="0" w:line="273" w:lineRule="auto"/>
        <w:rPr>
          <w:sz w:val="20"/>
          <w:szCs w:val="20"/>
          <w:color w:val="auto"/>
        </w:rPr>
      </w:pPr>
      <w:r>
        <w:rPr>
          <w:rFonts w:ascii="Arial" w:cs="Arial" w:eastAsia="Arial" w:hAnsi="Arial"/>
          <w:sz w:val="14"/>
          <w:szCs w:val="14"/>
          <w:color w:val="auto"/>
        </w:rPr>
        <w:t>10 Income tax expense for fiscal 2016 includes the effects of the income tax expense generated by the increase in the valuation allowance against domestic state deferred tax assets (see Note 11 of the Notes to the Consolidated Financial Statements).</w:t>
      </w:r>
    </w:p>
    <w:p>
      <w:pPr>
        <w:spacing w:after="0" w:line="52" w:lineRule="exact"/>
        <w:rPr>
          <w:sz w:val="20"/>
          <w:szCs w:val="20"/>
          <w:color w:val="auto"/>
        </w:rPr>
      </w:pPr>
    </w:p>
    <w:p>
      <w:pPr>
        <w:ind w:left="120" w:right="220" w:hanging="107"/>
        <w:spacing w:after="0" w:line="312" w:lineRule="auto"/>
        <w:rPr>
          <w:sz w:val="20"/>
          <w:szCs w:val="20"/>
          <w:color w:val="auto"/>
        </w:rPr>
      </w:pPr>
      <w:r>
        <w:rPr>
          <w:rFonts w:ascii="Arial" w:cs="Arial" w:eastAsia="Arial" w:hAnsi="Arial"/>
          <w:sz w:val="13"/>
          <w:szCs w:val="13"/>
          <w:color w:val="auto"/>
        </w:rPr>
        <w:t xml:space="preserve">11 ASU 2015-17 </w:t>
      </w:r>
      <w:r>
        <w:rPr>
          <w:rFonts w:ascii="Arial" w:cs="Arial" w:eastAsia="Arial" w:hAnsi="Arial"/>
          <w:sz w:val="13"/>
          <w:szCs w:val="13"/>
          <w:i w:val="1"/>
          <w:iCs w:val="1"/>
          <w:color w:val="auto"/>
        </w:rPr>
        <w:t>"Balance Sheet Classification of Deferred Taxes"</w:t>
      </w:r>
      <w:r>
        <w:rPr>
          <w:rFonts w:ascii="Arial" w:cs="Arial" w:eastAsia="Arial" w:hAnsi="Arial"/>
          <w:sz w:val="13"/>
          <w:szCs w:val="13"/>
          <w:color w:val="auto"/>
        </w:rPr>
        <w:t xml:space="preserve"> was adopted in fiscal 2016, prospectively, which requires deferred tax assets and deferred tax liabilities to be presented as non-current in a classified balance sheet. Prior periods presented were not retrospectively adjusted (see Note 11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variability in our operating results, the inability of certain of our customers or suppliers to access their traditional sources of credit, our industry’s rapidly changing technology, our dependence on a few large customers for a substantial portion of our revenue, a loss of revenue if contracts with the U.S. government or defense and aerospace contractors are canceled or delayed, our ability to implement innovative technologies, our ability to bring new products to market and achieve design wins, the efficient and successful operation of our wafer fabrication facilities, assembly facilities and test and tape and reel facilities, our ability to adjust production capacity in a timely fashion in response to changes in demand for our products, variability in manufacturing yields, industry overcapacity and current macroeconomic conditions, inaccurate product forecasts and corresponding inventory and manufacturing costs, dependence on third parties and our ability to manage platform providers and customer relationships, our dependence on international sales and operations, our ability to attract and retain skilled personnel and develop leaders, the possibility that future acquisitions may dilute our stockholders’ ownership and cause us to incur debt and assume contingent liabilities, fluctuations in the price of our common stock, additional claims of infringement on our intellectual property portfolio, lawsuits and claims relating to our products, security breaches and other similar disruptions compromising our information and exposing us to liability, and the impact of stringent environmental regulations. These and other risks and uncertainties, which are described in more detail under Item 1A, “Risk Factors” in this Annual Report on Form 10-K and in other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("Business Combination") under a new holding company named Qorvo, Inc. (the “Company” or “Qorvo”). The transactions contemplated by the Merger Agreement were consummated on January 1, 2015, and as a result, TriQuint's results of operations are included in Qorvo's fiscal 2015 Consolidated Statements of Operations for the period of January 1, 2015 through March 28, 2015 (the "Post-Combination Period") and for the full fiscal year of 2016.</w:t>
      </w:r>
    </w:p>
    <w:p>
      <w:pPr>
        <w:spacing w:after="0" w:line="15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financial reporting and accounting purposes, RFMD was the acquirer of TriQuint in the Business Combination. Unless otherwise noted, “we,” “our” or "us” in this report refers to RFMD and its subsidiaries prior to the closing of the Business Combination and to Qorvo and its subsidiaries after the closing of the Business Combination.</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Qorvo® is a leading provider of technologies and solutions that address the growing demand for always-on, high reliability, broadband data connectivity. We combine one of the industry’s broadest portfolios of radio frequency (“RF”) solutions and semiconductor technologies with deep systems-level expertise and scale manufacturing capabilities to enable a diverse set of cutting-edge customer products, including smartphones, tablets, wearables,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broadband customer premise equipment, home automation, in-vehicle infotainment, data center and military radar and communications. Our products are helping to drive the ongoing, rapid transformation of how people around the world interact with their communities, access and use data, and transact commerce.</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more than 7,300 global employees dedicated to delivering solutions for everything that connects the world. We have world-class ISO-certified manufacturing facilities, and our Richardson, Texas facility is a U.S. Department of Defense (“DoD”)-accredited ‘Trusted Source’ (Category 1A) for gallium arsenide (“GaAs”), gallium nitride (“GaN”) and bulk acoustic wave (“BAW”) technologies, products and services. Our design and manufacturing expertise encompasses many semiconductor process technologies, which we source both internally and through external suppliers. We operate worldwide with design, sales and manufacturing facilities located throughout Asia, Europe and North America. Our primary manufacturing facilities are located in North Carolina, Oregon, Texas and Florida, and our primary assembly and test facilities are located in China, Costa Rica and Texas.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140" w:hanging="332"/>
        <w:spacing w:after="0" w:line="272"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Mobile Products (MP) </w:t>
      </w:r>
      <w:r>
        <w:rPr>
          <w:rFonts w:ascii="Arial" w:cs="Arial" w:eastAsia="Arial" w:hAnsi="Arial"/>
          <w:sz w:val="17"/>
          <w:szCs w:val="17"/>
          <w:color w:val="auto"/>
        </w:rPr>
        <w:t>- MP is a leading global supplier of RF solutions that perform various functions in the increasingly complex cellular radio front</w:t>
      </w:r>
      <w:r>
        <w:rPr>
          <w:rFonts w:ascii="Arial" w:cs="Arial" w:eastAsia="Arial" w:hAnsi="Arial"/>
          <w:sz w:val="17"/>
          <w:szCs w:val="17"/>
          <w:i w:val="1"/>
          <w:iCs w:val="1"/>
          <w:color w:val="auto"/>
        </w:rPr>
        <w:t xml:space="preserve"> </w:t>
      </w:r>
      <w:r>
        <w:rPr>
          <w:rFonts w:ascii="Arial" w:cs="Arial" w:eastAsia="Arial" w:hAnsi="Arial"/>
          <w:sz w:val="17"/>
          <w:szCs w:val="17"/>
          <w:color w:val="auto"/>
        </w:rPr>
        <w:t>end section of smartphones and other cellular devices. These RF solutions are required in fourth generation (“4G”) data-centric devices operating under Long-Term Evolution (“LTE”) 4G networks, as well as third generation (“3G”) and second generation (“2G”) mobile devices. Our solutions include complete RF front end modules that combine high-performance filters, power amplifiers (“PAs”), low noise amplifiers ("LNAs") and switches, PA modules, transmit modules, antenna control solutions, antenna switch modules, diversity receive modules and envelope tracking ("ET") power management devices. MP supplies its broad portfolio of RF solutions into a variety of mobile devices, including smartphones, notebook computers, wearables, tablets, and cellular-based applications for the Internet of Things (“IoT”).</w:t>
      </w:r>
    </w:p>
    <w:p>
      <w:pPr>
        <w:spacing w:after="0" w:line="177" w:lineRule="exact"/>
        <w:rPr>
          <w:rFonts w:ascii="Arial" w:cs="Arial" w:eastAsia="Arial" w:hAnsi="Arial"/>
          <w:sz w:val="17"/>
          <w:szCs w:val="17"/>
          <w:color w:val="auto"/>
        </w:rPr>
      </w:pPr>
    </w:p>
    <w:p>
      <w:pPr>
        <w:ind w:left="340" w:hanging="332"/>
        <w:spacing w:after="0" w:line="271"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that support diverse global applications,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ubiquitous high-speed network connectivity to the cloud, data center communications, rapid internet connectivity throughout the home and workplace, and upgraded military capabilities across the globe. Qorvo’s RF solutions enhance performance and reduce complexity in cellular base stations, optical long haul, data center and metro networks, WiFi networks, cable networks, and emerging fifth generation (“5G”) wireless networks. Our IDP products include high power GaAs and GaN PAs, LNAs, switches, RF filter solutions, CMOS system-on-a-chip (“SoC”) solutions and various multichip and hybrid assemblies. Our market-leading RF solutions for defense and aerospace upgrade communications and radar systems for air, land and sea. Our RF solutions for the IoT enable the connected car and an array of industrial applications, and we serve the home automation market with SoC solutions based on ZigBee and Bluetooth Smart technologies.</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April 2, 2016, our reportable segments are MP and IDP. These business segments are based on the organizational structure and information reviewed by our Chief Executive Officer, who is our chief operating decision maker (or CODM), and are managed separately based on the end markets and applications they support. The CODM allocates resources and evaluates the performance of each operating segment primarily based on operating income and operating income as a percentage of revenue. In connection with the Business Combination, in the fourth quarter of fiscal 2015, we renamed our Cellular Products Group operating segment as MP and our Multi-Market Products Group operating segment as IDP. Additionally, the CODM elected to discontinue reporting Compound Semiconductor Group as an operating segment (see Note 15 of the Notes to the Consolidated Financial Statements in Part II, Item 8 of this report for additional information regarding our operating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Management Summary</w:t>
      </w:r>
    </w:p>
    <w:p>
      <w:pPr>
        <w:spacing w:after="0" w:line="225" w:lineRule="exact"/>
        <w:rPr>
          <w:sz w:val="20"/>
          <w:szCs w:val="20"/>
          <w:color w:val="auto"/>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revenue increased 52.6% in fiscal 2016 to $2,610.7 million as compared to $1,711.0 million in fiscal 2015, primarily because fiscal 2015 included only three months of TriQuint revenue.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30"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0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gross margin for fiscal 2016 was 40.2% compared to 40.3% for fiscal 2015. This slight decrease was primarily due to cash and non-cash expenses related to the Business Combination (including intangible amortization and stock-based compensation) and average selling price erosion. This decrease was offset by increased revenue and profitability resulting from the addition of TriQuint's operations as well as the synergies created from the Business Combination, a favorable change in product mix towards higher margin products and manufacturing- and sourcing-related cost reductions.</w:t>
      </w:r>
    </w:p>
    <w:p>
      <w:pPr>
        <w:spacing w:after="0" w:line="188"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income was $12.0 million in fiscal 2016 as compared to $122.5 million in fiscal 2015. This decrease was primarily due to cash and non-cash expenses related to the Business Combination (including intangible amortization and stock-based compensation) and average selling price erosion and was partially offset by increased revenue and profitability resulting from the addition of TriQuint's operations and by a favorable change in product mix towards higher margin products.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net loss per diluted share was $0.20 for fiscal 2016 compared to net income per diluted share of $2.11 for fiscal 2015.</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$687.9 million for fiscal 2016 as compared to $305.6 million for fiscal 2015. This year-over-year increase was primarily attributable to improved profitability resulting from the addition of TriQuint's operations exclusive of non-cash Business Combination expenses.</w:t>
      </w:r>
    </w:p>
    <w:p>
      <w:pPr>
        <w:spacing w:after="0" w:line="181"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totaled $315.6 million in fiscal 2016 as compared to $169.9 million in fiscal 2015, with the increase primarily related to projects for increasing premium filter capacity as well as for manufacturing cost savings initiatives.</w:t>
      </w:r>
    </w:p>
    <w:p>
      <w:pPr>
        <w:spacing w:after="0" w:line="170" w:lineRule="exact"/>
        <w:rPr>
          <w:rFonts w:ascii="Arial" w:cs="Arial" w:eastAsia="Arial" w:hAnsi="Arial"/>
          <w:sz w:val="18"/>
          <w:szCs w:val="18"/>
          <w:color w:val="auto"/>
        </w:rPr>
      </w:pPr>
    </w:p>
    <w:p>
      <w:pPr>
        <w:ind w:left="660" w:right="12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fiscal 2016, we completed the sale of $450.0 million aggregate principal amount of 6.75% senior notes due December 1, 2023 (the “2023 Notes”) and $550.0 million aggregate principal amount of 7.00% senior notes due December 1, 2025 (the “2025 Notes” and, together with the 2023 Notes, the “Notes”), and recorded $25.8 million of related interest expense (which was offset by $5.2 million of capitalized interest).</w:t>
      </w:r>
    </w:p>
    <w:p>
      <w:pPr>
        <w:spacing w:after="0" w:line="146"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fiscal 2016, we repurchased approximately 24.3 million shares of our common stock for approximately $1,300.0 million as compared to 0.8 million shares repurchased for approximately $50.9 million during fiscal 2015.</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fiscal 2016, we recorded integration and restructuring expenses totaling $36.6 million related to the Business Combination as compared to acquisition, integration and restructuring expenses totaling $54.4 million in fiscal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for fiscal years 2016, 2015 and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62"/>
              <w:spacing w:after="0"/>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Dollars</w:t>
            </w:r>
          </w:p>
        </w:tc>
        <w:tc>
          <w:tcPr>
            <w:tcW w:w="10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spacing w:after="0"/>
              <w:rPr>
                <w:sz w:val="13"/>
                <w:szCs w:val="13"/>
                <w:color w:val="auto"/>
              </w:rPr>
            </w:pPr>
          </w:p>
        </w:tc>
        <w:tc>
          <w:tcPr>
            <w:tcW w:w="1040" w:type="dxa"/>
            <w:vAlign w:val="bottom"/>
            <w:shd w:val="clear" w:color="auto" w:fill="CCEEFF"/>
          </w:tcPr>
          <w:p>
            <w:pPr>
              <w:jc w:val="right"/>
              <w:ind w:right="394"/>
              <w:spacing w:after="0" w:line="153" w:lineRule="exact"/>
              <w:rPr>
                <w:sz w:val="20"/>
                <w:szCs w:val="20"/>
                <w:color w:val="auto"/>
              </w:rPr>
            </w:pPr>
            <w:r>
              <w:rPr>
                <w:rFonts w:ascii="Arial" w:cs="Arial" w:eastAsia="Arial" w:hAnsi="Arial"/>
                <w:sz w:val="14"/>
                <w:szCs w:val="14"/>
                <w:b w:val="1"/>
                <w:bCs w:val="1"/>
                <w:color w:val="auto"/>
              </w:rPr>
              <w:t>% of</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Dollars</w:t>
            </w:r>
          </w:p>
        </w:tc>
        <w:tc>
          <w:tcPr>
            <w:tcW w:w="10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spacing w:after="0"/>
              <w:rPr>
                <w:sz w:val="13"/>
                <w:szCs w:val="13"/>
                <w:color w:val="auto"/>
              </w:rPr>
            </w:pPr>
          </w:p>
        </w:tc>
        <w:tc>
          <w:tcPr>
            <w:tcW w:w="1180" w:type="dxa"/>
            <w:vAlign w:val="bottom"/>
            <w:gridSpan w:val="2"/>
            <w:shd w:val="clear" w:color="auto" w:fill="CCEEFF"/>
          </w:tcPr>
          <w:p>
            <w:pPr>
              <w:ind w:left="26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Dollars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22"/>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Revenue</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2,610,726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1,710,966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1,148,231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1,561,173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1,021,658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743,304</w:t>
            </w:r>
          </w:p>
        </w:tc>
        <w:tc>
          <w:tcPr>
            <w:tcW w:w="152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1,049,553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40.2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689,308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404,927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197,269</w:t>
            </w:r>
          </w:p>
        </w:tc>
        <w:tc>
          <w:tcPr>
            <w:tcW w:w="152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420,467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164,657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74,672</w:t>
            </w:r>
          </w:p>
        </w:tc>
        <w:tc>
          <w:tcPr>
            <w:tcW w:w="1520" w:type="dxa"/>
            <w:vAlign w:val="bottom"/>
            <w:gridSpan w:val="3"/>
          </w:tcPr>
          <w:p>
            <w:pPr>
              <w:jc w:val="right"/>
              <w:ind w:right="10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76,732</w:t>
            </w:r>
          </w:p>
        </w:tc>
        <w:tc>
          <w:tcPr>
            <w:tcW w:w="152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54,723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59,462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28,913</w:t>
            </w:r>
          </w:p>
        </w:tc>
        <w:tc>
          <w:tcPr>
            <w:tcW w:w="1520" w:type="dxa"/>
            <w:vAlign w:val="bottom"/>
            <w:gridSpan w:val="3"/>
          </w:tcPr>
          <w:p>
            <w:pPr>
              <w:jc w:val="right"/>
              <w:ind w:right="10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122,466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27,341</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8"/>
                <w:szCs w:val="18"/>
                <w:color w:val="auto"/>
                <w:w w:val="79"/>
              </w:rPr>
              <w:t>36</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overall revenue increased $899.8 million, or 52.6%, in fiscal 2016 as compared to fiscal 2015, primarily because fiscal 2015 included only three months of TriQuint revenue.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overall revenue increased $562.7 million, or 49.0%, in fiscal 2015 as compared to fiscal 2014. The increase in revenue was primarily due to the inclusion of TriQuint revenue for the Post-Combination Period and increased demand for our cellular RF solutions for smartphones.</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sold our products to our largest end customer through multiple contract manufacturers, which in the aggregate, accounted for approximately 37%, 32% and 20% of total revenue in fiscal years 2016, 2015 and 2014, respectively. Huawei Technologies Co., Ltd. accounted for approximately 12%, 7% and 4% of our total revenue in fiscal years 2016, 2015 and 2014, respectively. Samsung Electronics, Co., Ltd. (Samsung), accounted for approximately 7%, 14% and 25% of our total revenue in fiscal years 2016, 2015 and 2014, respectively. The majority of the revenue from these customers was from our mobile product sales. No other customer accounted for more than 10% of our total revenue in any of the last three fiscal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shipments amounted to $2,304.4 million in fiscal 2016 (approximately 88% of revenue) compared to $1,395.2 million in fiscal 2015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(approximately 82% of revenue) and $805.4 million in fiscal 2014 (approximately 70% of revenue). Shipments to Asia totaled $2,162.1 million in fiscal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83% of revenue) compared to $1,282.2 million in fiscal 2015 (approximately 75% of revenue) and $756.1 million in fiscal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66% of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Our overall gross margin for fiscal 2016 was 40.2% as compared to 40.3% in fiscal 2015. This slight decrease was primarily due to cash and non-cash expenses related to the Business Combination (including intangible amortization and stock-based compensation) and average selling price erosion. This decrease was offset by increased revenue and profitability resulting from the addition of TriQuint's operations as well as the synergies created from the Business Combination, a favorable change in product mix towards higher margin products and manufacturing- and sourcing-related cost reductions.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overall gross margin for fiscal 2015 increased to 40.3% as compared to 35.3% in fiscal 2014. This increase was primarily due to a favorable change in product mix towards higher margin products and manufacturing- and sourcing-related cost reductions. The increase was partially offset by expenses related to the Business Combination (including intangible amortization and inventory step-up), and average selling price erosion.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fiscal 2016, R&amp;D expenses increased $191.3 million, or 74.3%, compared to fiscal 2015, primarily due to the inclusion of TriQuint R&amp;D expenses for a full fiscal year (fiscal 2015 included only three months of TriQuint expenses) and increases in headcount and product development costs related to new mobile products.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fiscal 2015, R&amp;D expenses increased $60.2 million, or 30.5%, compared to fiscal 2014, primarily due to the inclusion of TriQuint R&amp;D expenses for the Post-Combination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fiscal 2016, marketing and selling expenses increased $255.8 million, or 155.4%, compared to fiscal 2015, primarily due to marketing-related intangible asset amortization resulting from the Business Combination and the addition of TriQuint marketing and selling expenses for a full fiscal year (fiscal 2015 included only three months of TriQuint expenses).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fiscal 2015, marketing and selling expenses increased $90.0 million, or 120.5%, compared to fiscal 2014, primarily due to the inclusion of TriQuint marketing and selling expenses for the Post-Combination Period.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fiscal 2016, general and administrative expenses increased $28.4 million, or 33.3%, compared to fiscal 2015, due to the inclusion of TriQuint general and administrative expenses for a full fiscal year (fiscal 2015 included only three months of TriQuint expenses).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fiscal 2015, general and administrative expenses increased $8.5 million, or 11.1%, compared to fiscal 2014. This increase was due to the inclusion of TriQuint general and administrative expenses for the Post-Combination Period and was partially offset by decreased consulting expenses and IP-related legal expenses as compared to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 fiscal 2016, other operating expenses were $54.7 million, as compared to $59.5 million for fiscal 2015. In fiscal 2016, we recorded integration costs of $26.5 million and restructuring costs of $10.1 million (including stock-based compensation) associated with the Business Combination, as well as $14.1 million of start-up costs related to new processes and operations in both existing and new facilities. In fiscal 2015, other operating expenses included acquisition costs of $12.2 million, integration costs of $31.3 million, and restructuring costs of $10.9 million associated with the Business Combination.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overall operating income was $12.0 million for fiscal 2016 as compared to $122.5 million for fiscal 2015. This decrease was primarily due to costs related to the Business Combination (including intangible amortization and stock-based compensation) and average selling price erosion and was partially offset by increased revenue and profitability resulting from the addition of TriQuint's operations as well as the synergies created from the Business Combination, a favorable change in product mix towards higher margin products and manufacturing- and sourcing-related cost reductions.</w:t>
      </w:r>
    </w:p>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overall operating income was $122.5 million for fiscal 2015 as compared to $27.3 million for fiscal 2014. This increase in operating income was primarily due to higher revenue and improved gross margin, which were partially offset by costs related to the Business Combination (including intangible amortization expense of the acquired intangible assets, inventory step-up, stock-based compensation related to the Business Combination, integration, acquisition and restructuring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171"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Fiscal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9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(In thousands, except percentages)</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59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2,083,334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1,395,035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935,313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591,751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404,382</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109,862</w:t>
            </w: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5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MP revenue increased $688.3 million, or 49.3%, in fiscal 2016 as compared to fiscal 2015 (fiscal 2015 included only three months of TriQuint revenue).</w:t>
      </w:r>
    </w:p>
    <w:p>
      <w:pPr>
        <w:spacing w:after="0" w:line="2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decrease in MP operating income as a percentage of revenue in fiscal 2016 as compared to fiscal 2015 was primarily due to increased expenses related to the development of new mobile products, partially offset by higher gross margins (resulting from a favorable change in product mix towards higher margin products and manufacturing- and sourcing-related cost reductions, which were partially offset by average selling price erosion).</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MP revenue increased $459.7 million, or 49.2%, in fiscal 2015 as compared to fiscal 2014. The increase in revenue is primarily due to the inclusion of TriQuint revenue for the Post-Combination Period and increased demand for our cellular RF solutions for smartphones.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MP operating income increased $294.5 million, or 268.1%, in fiscal 2015 as compared to fiscal 2014, primarily due to higher revenue and improved gross margin resulting from a favorable change in product mix towards higher margin products and manufacturing- and sourcing-related cost reductions, which were partially offset by average selling price erosion.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71"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Fiscal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9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(In thousands, except percentages)</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59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523,512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313,274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212,897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108,370</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72,262</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32,315</w:t>
            </w: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5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IDP revenue increased $210.2 million, or 67.1%, in fiscal 2016 as compared to fiscal 2015 (fiscal 2015 included only three months of TriQuint revenue).</w:t>
      </w:r>
    </w:p>
    <w:p>
      <w:pPr>
        <w:spacing w:after="0" w:line="23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decrease in IDP operating income as a percentage of revenue in fiscal 2016 as compared to fiscal 2015 was primarily due to lower gross margins resulting from decreased demand for wireless infrastructure products during the first half of fiscal 2016. The demand for wireless infrastructure products began to show signs of recovery in the third quarter of fiscal 2016 and continued to improve in the fourth quarter of fiscal 2016.</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IDP revenue increased $100.4 million, or 47.1%, in fiscal 2015 as compared to fiscal 2014. The increase in revenue was primarily due to the inclusion of TriQuint revenue for the Post-Combination Period and increased demand for our wireless infrastructure products.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IDP operating income increased $39.9 million, or 123.6%, in fiscal 2015 as compared to fiscal 2014, primarily due to improved gross margin resulting from manufacturing- and sourcing-related cost reductions and a favorable shift in product mix towards higher margin wireless infrastructure products, which was partially offset by average selling price erosion.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Note 15 of the Notes to the Consolidated Financial Statements in Part II, Item 8 of this report for a reconciliation of segment operating income to the consolidated operating income for fiscal years 2016,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Fiscal Year</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37"/>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(23,316)</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(1,421)</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(5,983)</w:t>
            </w:r>
          </w:p>
        </w:tc>
      </w:tr>
      <w:tr>
        <w:trPr>
          <w:trHeight w:val="27"/>
        </w:trPr>
        <w:tc>
          <w:tcPr>
            <w:tcW w:w="6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6,418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4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2,336</w:t>
            </w:r>
          </w:p>
        </w:tc>
      </w:tr>
      <w:tr>
        <w:trPr>
          <w:trHeight w:val="27"/>
        </w:trPr>
        <w:tc>
          <w:tcPr>
            <w:tcW w:w="6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75,062</w:t>
            </w: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r>
      <w:tr>
        <w:trPr>
          <w:trHeight w:val="27"/>
        </w:trPr>
        <w:tc>
          <w:tcPr>
            <w:tcW w:w="6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third quarter of fiscal 2016, we issued $1.0 billion of Notes and recognized $25.8 million of related interest expense. Interest expense in the preceding table for fiscal 2016 is net of capitalized interest of $5.2 million. In fiscal 2017, we will record a full year of interest expense related to the Notes of approximately $69.9 million, which will be partially offset by interest capitalized to property and equipment. Interest on the Notes is payable semi-annually on June 1 and December 1 of each year, commencing on June 1, 2016, and will result in payments totaling approximately $71.2 million in fiscal 2017. In fiscal 2015, our 1.00% Convertible Subordinated Notes due 2014 (the "2014 Notes") became due (on April 15, 2014) and the remaining principal balance of $87.5 million plus interest of $0.4 million was paid with cash on hand.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increased for fiscal 2016, primarily due to a gain recognized from the sale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Income tax expense for fiscal 2016 was $26.0 million, which is primarily comprised of tax expense related to international operations and tax expense of $25.1 million related to an increase in the valuation allowance against domestic state tax net operating loss and credit deferred tax assets and foreign net operating loss deferred tax assets, offset by a tax benefit arising from domestic operations. For fiscal 2016, this resulted in an annual effective tax rate of (908.0)%.</w:t>
      </w:r>
    </w:p>
    <w:p>
      <w:pPr>
        <w:spacing w:after="0" w:line="1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comparison, income tax benefit for fiscal 2015 was $75.1 million, which was primarily comprised of tax expense related to domestic and international operations offset by a tax benefit of $135.8 million related to a decrease in the valuation allowance against domestic deferred tax assets. For fiscal 2015, this resulted in an annual effective tax rate of (61.9)%.</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Income tax expense for fiscal 2014 was $11.2 million, which was primarily comprised of tax expense related to international operations. For fiscal 2014, this resulted in an annual effective tax rate of 47.1%.</w:t>
      </w:r>
    </w:p>
    <w:p>
      <w:pPr>
        <w:spacing w:after="0" w:line="130"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tax deferred assets exist. It is management's intent to reevaluate the ability to realize the benefit of these deferred tax assets on a quarterly basis. As of the end of fiscal years 2016, 2015 and 2014, the valuation allowance against domestic and foreign deferred tax assets was $34.7 million, $13.8 million, and $143.3 million, respectively.</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valuation allowance against net deferred tax assets increased in fiscal 2016 by $20.9 million. The increase was comprised primarily of a $20.2 million increase in the valuation allowance for state deferred tax assets for net operating losses and tax credits, a $5.0 million increase in the valuation allowance for foreign net operating loss deferred tax assets, and a $4.3 million decrease in the valuation allowance related to a deferred tax asset recorded in the initial purchase price accounting for the Business Combination. The Business Combination adjustment related to a deferred tax asset which was recorded during fiscal 2015 in the initial purchase price accounting with a full valuation allowance, but which deferred tax asset was determined in fiscal 2016 to not exist as of the acquisition date. Accordingly, in fiscal 2016, that deferred tax asset was removed along with the offsetting deferred tax asset valuation allowance. During fiscal 2016, North Carolina enacted legislation to reduce the corporate income tax rate from 5% to 4% and phase-in over a three-year period a move to a single sales factor apportionment methodology. In addition, the Company underwent operational changes to leverage existing resources and capabilities of its Singapore subsidiary and consolidate operations and responsibilities associated with its foreign back-end manufacturing operations and foreign customers in that Singapore subsidiary. Together these changes result in a significant decrease in the amount of future taxable income expected to be allocated to North Carolina and the other states in which the net operating loss and credit carryovers exist. As a result, it is no longer more likely than not that those state net operating loss and credit carryovers for which a valuation allowance is being provided will be used before they expire. The foreign net operating losses relate to the China subsidiary which owns the new internal assembly and test facility that became operational during the current fiscal year and has incurred losses since inception. At the end of fiscal 2016, a $5.2 million valuation allowance remained against foreign net deferred tax assets and a $29.5 million valuation allowance remained against domestic deferred tax assets as it is more likely than not that the related deferred tax assets will not be realized, effectively increasing the domestic net deferred tax liabilities.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valuation allowance against net deferred tax assets decreased in fiscal 2015 by $129.5 million. The decrease was comprised of $135.7 million for domestic deferred tax assets for which realization is now more likely than not with the increase in domestic deferred tax liabilities related to domestic amortizable intangible assets arising in connection with the Business Combination and other changes in the net deferred tax assets for foreign subsidiaries during the fiscal year, offset by an increase of $6.2 million related to deferred tax assets acquired in the Business Combination which are not more likely than not of being realized. At the end of fiscal 2015, a $0.2 million valuation allowance remained against foreign net deferred tax assets and a $13.6 million valuation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0"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allowance remained against domestic deferred tax assets as it is more likely than not that the related deferred tax assets will not be realized, effectively increasing the domestic net deferred tax liabilities.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valuation allowance against net deferred tax assets increased in fiscal 2014 by $20.9 million from the $164.2 million balance as of the end of fiscal 2013. The decrease was comprised of the reversal of the $12.0 million U.K. valuation allowance established during fiscal 2013 and $15.1 million related to deferred tax assets used against deferred intercompany profits, offset by increases related to a $3.4 million adjustment in the net operating losses acquired in the acquisition of Amalfi Semiconductor, Inc. ("Amalfi") and $2.8 million for other changes in net deferred tax assets for domestic and other foreign subsidiaries during the fiscal year. The U.K. valuation allowance was reversed in connection with the sale of the U.K. manufacturing facility in fiscal 2014 and the write-off of the remaining U.K. deferred tax assets.</w:t>
      </w:r>
    </w:p>
    <w:p>
      <w:pPr>
        <w:spacing w:after="0" w:line="15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April 2, 2016, we had federal loss carryovers of approximately $220.5 million that expire in fiscal years 2017 to 2035 if unused and state losses of approximately $173.5 million that expire in fiscal years 2017 to 2035 if unused. Federal research credits of $94.3 million, federal foreign tax credits of $4.9 million, and state credits of $52.4 million may expire in fiscal years 2018 to 2036, 2017 to 2026, and 2017 to 2031, respectively. Federal alternative minimum tax credits of $3.2 million carry forward indefinitely. Included in the amounts above are certain net operating losses and other tax attribute assets acquired in conjunction with the acquisitions of Filtronic Compound Semiconductors, Limited; Sirenza Microdevices, Inc.; Silicon Wave, Inc.; Amalfi; and the Business Combination in prior years. The utilization of these acquired domestic tax assets is subject to certain annual limitations as required under Internal Revenue Code Section 382 and similar state income tax provisions.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gross unrecognized tax benefits totaled $69.1 million as of April 2, 2016, $59.4 million as of March 28, 2015, and $39.4 million as of March 29, 2014. Of these amounts, $64.2 million (net of federal benefit of state taxes), $55.0 million (net of federal benefit of state taxes), and $30.9 million (net of federal benefit of state taxes) as of April 2, 2016, March 28, 2015, and March 29, 2014, respectively, represent the amounts of unrecognized tax benefits that, if recognized, would impact the effective tax rate in each of the fiscal years.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It is our policy to recognize interest and penalties related to uncertain tax positions as a component of income tax expense. During fiscal years 2016, 2015 and 2014, we recognized $1.6 million, $1.2 million and $0.9 million, respectively, of interest and penalties related to uncertain tax positions. Accrued interest and penalties related to unrecognized tax benefits totaled $5.0 million, $3.4 million, and $2.3 million as of April 2, 2016, March 28, 2015, and March 29, 2014, respectively. Within the next 12 months, we believe it is reasonably possible that only a minimal amount of gross unrecognized tax benefits will be reduced as a result of reductions for tax positions taken in prior years where the only uncertainty was related to the timing of the tax deduction.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Under Financial Accounting Standards Board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April 2, 2016, total remaining unearned compensation cost related to nonvested restricted stock units and options was $78.9 million, which will be amortized over the weighted-average remaining service period of approximately 1.2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generated by operations is our primary source of liquidity. As of April 2, 2016, we had working capital of approximately $1,135.4 million, including $425.9 million in cash and cash equivalents, compared to working capital at March 28, 2015, of $1,174.8 million, including $299.8 million in cash and cash equivalents.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total cash, cash equivalents and short-term investments were $612.7 million as of April 2, 2016. This balance includes approximately $205.2 million held by our foreign subsidiaries. If all of these funds held by our foreign subsidiaries are needed for our operations in the U.S., we would be required to accrue and pay U.S. taxes to repatriate these funds. We currently expect to reinvest these funds outside of the U.S. permanently and do not expect to repatriate them to fund our U.S. operations.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30"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November 5, 2015, we announced that our Board of Directors authorized a new share repurchase program to repurchase up to $1.0 billion of our outstanding common stock through November 4, 2016.</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February 16, 2016, we entered into variable maturity accelerated share repurchase (ASR) agreements (a $250.0 million collared agreement and a $250.0 million uncollared agreement) with Bank of America, N.A. These agreements are part of our $1.0 billion share repurchase program described above. For the upfront payment of $500.0 million, we received 3.1 million shares of our common stock under the collared agreement (representing 50% of the shares we would have repurchased assuming an average share price of $40.78) and 4.9 million shares of our common stock under the uncollared agreement (representing 80% of the shares we would have repurchased assuming an average share price of $40.78). On March 10, 2016, we received an additional 2.0 million shares of our common stock under the collared agreement. Final settlements of the ASR agreements are expected to be completed in the first quarter of fiscal 2017.</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10.0 million shares of our common stock that we repurchased under the ASR agreements for $500.0 million, we repurchased 4.6 million shares of our common stock on the open market for $250.0 million (under the $1.0 billion share repurchase program) in the third quarter of fiscal 2016. As of April 2, 2016, a total of $250.0 million remains authorized under this program for future repurchases.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fiscal 2016, we also repurchased 9.7 million shares of our common stock for approximately $550.0 million under a $200.0 million program authorized in February 2015 and a $400.0 million program authorized in August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Operating activities in fiscal 2016 provided cash of $687.9 million, compared to $305.6 million in fiscal 2015. This year-over-year increase was primarily attributable to improved profitability from the addition of TriQuint's operations exclusive of non-cash Business Combination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Net cash used in investing activities in fiscal 2016 was $278.7 million, compared to $63.9 million in fiscal 2015. This increase was due to higher capital expenditures (primarily related to projects for increasing premium filter capacity as well as for manufacturing cost savings initiatives), which was partially offset by increased proceeds from maturities of available-for-sale securities in fiscal 2016 as compared to fiscal 2015. In fiscal 2015, the Business Combination accounted for an increase in cash provided by investing activities of approximately $224.3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financing activities in fiscal 2016 was $282.9 million, compared to $112.9 million in fiscal 2015. This increase in net cash used in financing activities was primarily due to the repurchase of 24.3 million shares of our common stock for approximately $1,300.0 million, which was partially offset by the net proceeds from the issuance of our Notes of approximately $987.8 million. During fiscal 2015, the remaining principal balance of the 2014 Notes of $87.5 million was paid.</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do not believe that the effects of inflation had a significant impact on our revenue or operating income during fiscal years 2016, 2015 and 2014. Our financial results in fiscal 2017 could be adversely affected by wage and commodity price inflation (including precious metals).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2016, we had no off-balance sheet arrangements as defined in Item 303(a)(4)(ii) of SEC Regulation S-K.</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commitments (in thousands) as of April 2, 2016, and the effect such obligations are expected to have on our liquidity and cash flows in future periods.</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89"/>
              </w:rPr>
              <w:t>Payments Due By Period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53"/>
        </w:trPr>
        <w:tc>
          <w:tcPr>
            <w:tcW w:w="3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25"/>
        </w:trPr>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Payments</w:t>
            </w:r>
          </w:p>
        </w:tc>
        <w:tc>
          <w:tcPr>
            <w:tcW w:w="300" w:type="dxa"/>
            <w:vAlign w:val="bottom"/>
          </w:tcPr>
          <w:p>
            <w:pPr>
              <w:spacing w:after="0"/>
              <w:rPr>
                <w:sz w:val="19"/>
                <w:szCs w:val="19"/>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Fiscal</w:t>
            </w:r>
          </w:p>
        </w:tc>
        <w:tc>
          <w:tcPr>
            <w:tcW w:w="120" w:type="dxa"/>
            <w:vAlign w:val="bottom"/>
          </w:tcPr>
          <w:p>
            <w:pPr>
              <w:spacing w:after="0"/>
              <w:rPr>
                <w:sz w:val="19"/>
                <w:szCs w:val="19"/>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Fiscal 2018-2019</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2020-2021</w:t>
            </w:r>
          </w:p>
        </w:tc>
        <w:tc>
          <w:tcPr>
            <w:tcW w:w="16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Fiscal 2022 and</w:t>
            </w:r>
          </w:p>
        </w:tc>
      </w:tr>
      <w:tr>
        <w:trPr>
          <w:trHeight w:val="234"/>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thereafter</w:t>
            </w: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commitments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103,879</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1,630,296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71,171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137,750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137,750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1,283,625</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15,448</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106,048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105,994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Cross-licensing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4,389</w:t>
            </w: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1,914,482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296,101</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1,306,462</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April 2, 2016, we had capital commitments of approximately $103.9 million, primarily related to projects for increasing manufacturing capacity, as well as for equipment replacements, equipment for process improvements and general corporate requirements. In addition to the capital commitments included in the table above, in the first quarter of fiscal 2017, we committed an aggregate of approximately $200.0 million in connection with signing a definitive agreement to acquire a privately-held technology company, acquiring a wafer fabrication facility which we currently plan to use to expand our BAW filter capacity (including equipment) and starting construction of a new office and design center.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November 19, 2015, we completed the offering of the Notes, which were sold in the United States to qualified institutional buyers pursuant to Rule 144A under the Securities Act of 1933, as amended (the “Securities Act”), and outside the United States pursuant to Regulation S under the Securities Act. The Notes were issued pursuant to an indenture, dated as of November 19, 2015 (the “Indenture”), by and among the Company, our domestic subsidiaries that guarantee our obligations under our revolving credit facility, as guarantors (the “Guarantors”), and MUFG Union Bank, N.A., as trustee. Interest is payable on the 2023 Notes at a rate of 6.75% per annum and on the 2025 Notes at a rate of 7.00% per annum. Interest on both series of Notes is payable semi-annually on June 1 and December 1 of each year, commencing on June 1, 2016.</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any time prior to December 1, 2018, we may redeem all or part of the 2023 Notes, at a redemption price equal to their principal amount, plus a “make whole” premium as of the redemption date, and accrued and unpaid interest. In addition, at any time prior to December 1, 2018, we may redeem up to 35% of the original aggregate principal amount of the 2023 Notes with the proceeds of one or more equity offerings, at a redemption price equal to 106.75%, plus accrued and unpaid interest. Furthermore, at any time on or after December 1, 2018, we may redeem the 2023 Notes, in whole or in part, at once or over time, at the specified redemption prices set forth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Indenture plus accrued and unpaid interest thereon to the redemption date (subject to the rights of holders of record on the relevant record date to receive interest due on the relevant interest payment date).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any time prior to December 1, 2020, we may redeem all or part of the 2025 Notes, at a redemption price equal to their principal amount, plus a “make whole” premium as of the redemption date, and accrued and unpaid interest. In addition, at any time prior to December 1, 2018, we may redeem up to 35% of the original aggregate principal amount of the 2025 Notes with the proceeds of one or more equity offerings, at a redemption price equal to 107.00%, plus accrued and unpaid interest. Furthermore, at any time on or after December 1, 2020, we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7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Indenture contains customary events of default, including, among other things, payment default, exchange default, failure to provide certain notices thereunder and certain provisions related to bankruptcy events. The Indenture also contains customary negative covenants.</w:t>
      </w:r>
    </w:p>
    <w:p>
      <w:pPr>
        <w:spacing w:after="0" w:line="14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lease certain of our corporate, wafer fabrication and other facilities from multiple third-party real estate developers. The remaining terms of these operating leases range from less than one year to 12 years. Several have renewal options of up to two ten-year periods and several also include standard inflation escalation terms. Several also include rent escalation, rent holidays and leasehold improvement incentives, which are recognized to expense on a straight-line basis. The amortization period of leasehold improvements made either at the inception of the lease or during the lease term is amortized over the lesser of the remaining life of the lease term (including renewals that are reasonably assured) or the useful life of the asset. We also lease various machinery and equipment and office equipment under non-cancelable operating leases. The remaining terms of these operating leases range from less than one year to approximately three years. As of April 2, 2016, the total future minimum lease payments related to facility and equipment operating leases is approximately $52.4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Our purchase obligations, totaling approximately $106.0 million, are primarily for the purchase of raw materials and manufacturing services that are not recorded as liabilities on our balance sheet because we had not received the related goods or services as of April 2,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Cross-Licensing Agreements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cross-licensing liability represents payables under a cross-licensing agreement and are included in "Accrued liabilities" and "Other long-term liabilities" on the Consolidated Balance Sheet as of April 2,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Commitments for deferred compensation represents the liability under our Non-Qualified Deferred Compensation Plan (the "NDCP"). The NDCP provides eligible employees and members of the Board of Directors with the opportunity to defer a specified percentage of their cash compensation. The deferred earnings are invested at the discretion of each participating employee or director and the deferred compensation we are obligated to deliver is adjusted for increases or decreases in the deferred amount due to such investment. The current portion and non-current portion of the deferred compensation obligation is included in "Accrued liabilities" and "Other long-term liabilities" in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Obligations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April 2, 2016, in addition to the amounts shown in the Contractual Obligations table above, we had $74.1 million of unrecognized income tax benefits and accrued interest, of which $12.4 million had been recorded as a liability. We are uncertain as to if, or when, such amounts may be settled.</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30"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As discussed in Note 8 of the Notes to the Consolidated Financial Statements in Part II, Item 8 of this report, we have two pension plans in Germany with a combined benefit obligation of approximately $11.3 million as of April 2, 2016. Pension benefit payments are not included in the schedule above as they are not available for all periods presented. Pension benefit payments were less than $0.2 million in fiscal 2016 and are expected to be similar in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April 7, 2015, we and our Guarantors entered into a five-year unsecured senior credit facility with Bank of America, N.A., as administrative agent (in such capacity, the “Administrative Agent”), swing line lender, and</w:t>
      </w:r>
    </w:p>
    <w:p>
      <w:pPr>
        <w:spacing w:after="0" w:line="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L/C issuer, and a syndicate of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revolving credit facility is available to finance working capital, capital expenditures and other corporate purposes. Our obligations under the Credit Agreement are jointly and severally guaranteed by the Guarantors. As of April 2, 2016, we have no outstanding amounts under the Credit Agreement.</w:t>
      </w:r>
    </w:p>
    <w:p>
      <w:pPr>
        <w:spacing w:after="0" w:line="17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At our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 line loans will bear interest at a rate equal to the Applicable Rate plus the Base Rate. The Eurodollar Base Rate is the rate per annum equal to the London Interbank Offered Rate, as published by Bloomberg, for dollar deposits for interest periods of one, two, three or six months, as selected by us. The Applicable Rate for Eurodollar Rate loans ranges from 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We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Credit Agreement contains various conditions, covenants and representations with which we must be in compliance in order to borrow funds and to avoid an event of default, including financial covenants that we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We must also maintain a consolidated interest coverage ratio of not less than 3.00 to 1.00 as of the end of any fiscal quarter.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 line option due in full no later than ten business days after such loan is made).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(see Note 1 of the Notes to the Consolidated Financial Statements in Part II, Item 8 of this report).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b w:val="1"/>
          <w:bCs w:val="1"/>
          <w:i w:val="1"/>
          <w:iCs w:val="1"/>
          <w:color w:val="auto"/>
        </w:rPr>
        <w:t xml:space="preserve">Inventory Reserves. </w:t>
      </w:r>
      <w:r>
        <w:rPr>
          <w:rFonts w:ascii="Arial" w:cs="Arial" w:eastAsia="Arial" w:hAnsi="Arial"/>
          <w:sz w:val="17"/>
          <w:szCs w:val="17"/>
          <w:color w:val="auto"/>
        </w:rPr>
        <w:t>The valuation of inventory requires us to estimate obsolete or excess inventory. The determination of obsolete or excess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w:t>
      </w:r>
    </w:p>
    <w:p>
      <w:pPr>
        <w:spacing w:after="0" w:line="178"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Historically, inventory reserves have fluctuated as new technologies have been introduced and customers’ demand has shifted. Inventory reserves had approximately a 1% or lower impact on margins in fiscal years 2016, 2015 and 2014.</w:t>
      </w:r>
    </w:p>
    <w:p>
      <w:pPr>
        <w:spacing w:after="0" w:line="170" w:lineRule="exact"/>
        <w:rPr>
          <w:sz w:val="20"/>
          <w:szCs w:val="20"/>
          <w:color w:val="auto"/>
        </w:rPr>
      </w:pPr>
    </w:p>
    <w:p>
      <w:pPr>
        <w:jc w:val="both"/>
        <w:ind w:left="660" w:right="120"/>
        <w:spacing w:after="0" w:line="31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Net revenue is generated principally from sales of semiconductor products. We recognize revenue from product sales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fundamental criteria are met, such as the time at which the title and risk and rewards of product ownership are transferred to the customer, price and terms are fixed or determinable, no significant vendor obligation exists and collection of the resulting receivable is reasonably assured.</w:t>
      </w:r>
    </w:p>
    <w:p>
      <w:pPr>
        <w:spacing w:after="0" w:line="147" w:lineRule="exact"/>
        <w:rPr>
          <w:sz w:val="20"/>
          <w:szCs w:val="20"/>
          <w:color w:val="auto"/>
        </w:rPr>
      </w:pPr>
    </w:p>
    <w:p>
      <w:pPr>
        <w:ind w:left="660" w:right="100"/>
        <w:spacing w:after="0" w:line="293" w:lineRule="auto"/>
        <w:rPr>
          <w:sz w:val="20"/>
          <w:szCs w:val="20"/>
          <w:color w:val="auto"/>
        </w:rPr>
      </w:pPr>
      <w:r>
        <w:rPr>
          <w:rFonts w:ascii="Arial" w:cs="Arial" w:eastAsia="Arial" w:hAnsi="Arial"/>
          <w:sz w:val="16"/>
          <w:szCs w:val="16"/>
          <w:color w:val="auto"/>
        </w:rPr>
        <w:t>Sales of products are generally made through either our sales force, manufacturers' representatives or through a distribution network. Revenue from the majority of our products is recognized upon shipment of the product to the customer from a Company-owned or third-party location. Some revenue is recognized upon receipt of the shipment by the customer. We have limited rebate programs offering price protection to certain distributors. These rebates represent less than 3% of net revenue and can be reasonably estimated based on specific criteria included in the rebate agreements and other known factors at the time. We reduce revenue and record reserves for product returns and allowances for price protection and stock rotation based on historical experience or specific identification depending on the contractual terms of the arrangement.</w:t>
      </w:r>
    </w:p>
    <w:p>
      <w:pPr>
        <w:spacing w:after="0" w:line="165"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We also recognize a portion of our net revenue through other agreements such as non-recurring engineering fees, contracts for R&amp;D work, royalty income, intellectual property (IP) revenue, and service revenue. These agreements are collectively less than 1% of consolidated revenue on an annual basis. Revenue from these agreements is recognized when the service is completed or upon certain milestones, as provided for in the agreements.</w:t>
      </w:r>
    </w:p>
    <w:p>
      <w:pPr>
        <w:spacing w:after="0" w:line="106" w:lineRule="exact"/>
        <w:rPr>
          <w:sz w:val="20"/>
          <w:szCs w:val="20"/>
          <w:color w:val="auto"/>
        </w:rPr>
      </w:pPr>
    </w:p>
    <w:p>
      <w:pPr>
        <w:jc w:val="both"/>
        <w:ind w:left="660" w:right="420"/>
        <w:spacing w:after="0" w:line="286" w:lineRule="auto"/>
        <w:rPr>
          <w:sz w:val="20"/>
          <w:szCs w:val="20"/>
          <w:color w:val="auto"/>
        </w:rPr>
      </w:pPr>
      <w:r>
        <w:rPr>
          <w:rFonts w:ascii="Arial" w:cs="Arial" w:eastAsia="Arial" w:hAnsi="Arial"/>
          <w:sz w:val="17"/>
          <w:szCs w:val="17"/>
          <w:color w:val="auto"/>
        </w:rPr>
        <w:t>Revenue from certain contracts is recognized on the percentage of completion method based on the costs incurred to date and the total contract amount, plus the contractual fee. If these contracts experience cost overruns, the percentage of completion method is used to determine revenue recognition. Revenue from fixed price contracts is recognized when the required deliverable is satisfied.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income is recognized based on a percentage of sales of the relevant product reported by licensees during the period.</w:t>
      </w:r>
    </w:p>
    <w:p>
      <w:pPr>
        <w:spacing w:after="0" w:line="18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 addition, we license or sell our rights to use portions of our IP portfolio, which includes certain patent rights useful in the manufacture and sales of certain products. IP revenue recognition is dependent on the terms of each agreement. We will recognize IP revenue (i) upon delivery of the IP and</w:t>
      </w:r>
    </w:p>
    <w:p>
      <w:pPr>
        <w:jc w:val="both"/>
        <w:ind w:left="660" w:right="60" w:hanging="4"/>
        <w:spacing w:after="0" w:line="255" w:lineRule="auto"/>
        <w:tabs>
          <w:tab w:leader="none" w:pos="9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have no substantive future obligation to perform under the arrangement. We will defer recognition of IP revenue where future performance obligations are required to earn the revenue or the revenue is not guaranteed. Revenue from services is recognized during the period that the service is performed.</w:t>
      </w:r>
    </w:p>
    <w:p>
      <w:pPr>
        <w:spacing w:after="0" w:line="150" w:lineRule="exact"/>
        <w:rPr>
          <w:sz w:val="20"/>
          <w:szCs w:val="20"/>
          <w:color w:val="auto"/>
        </w:rPr>
      </w:pPr>
    </w:p>
    <w:p>
      <w:pPr>
        <w:ind w:left="660" w:right="180"/>
        <w:spacing w:after="0" w:line="297" w:lineRule="auto"/>
        <w:rPr>
          <w:sz w:val="20"/>
          <w:szCs w:val="20"/>
          <w:color w:val="auto"/>
        </w:rPr>
      </w:pPr>
      <w:r>
        <w:rPr>
          <w:rFonts w:ascii="Arial" w:cs="Arial" w:eastAsia="Arial" w:hAnsi="Arial"/>
          <w:sz w:val="16"/>
          <w:szCs w:val="16"/>
          <w:color w:val="auto"/>
        </w:rPr>
        <w:t>Accounts receivable are recorded for all revenue items listed above and do not bear interest. We evaluate the collectability of accounts receivable based on a combination of factors. In cases where we are aware of circumstances that may impair a specific customer’s ability to meet its financial obligations subsequent to the original sale, we will record an allowance against amounts due, and thereby reduce the receivable to the amount we reasonably believe will be collected. For all other customers, we recognize allowances for doubtful accounts based on the length of time the receivables are past due, industry and geographic concentrations, the current business environment and our historical experience.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30"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Our terms and conditions do not give our customers a right of return associated with the original sale of our products. However, we will authorize sales returns under certain circumstances, which include perceived quality problems, courtesy returns and like-kind exchanges. We evaluate our estimate of returns by analyzing all types of returns and the timing of such returns in relation to the original sale. Reserves are adjusted to reflect changes in the estimated returns versus the original sale of product.</w:t>
      </w:r>
    </w:p>
    <w:p>
      <w:pPr>
        <w:spacing w:after="0" w:line="187"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is recorded when the purchase price paid for a business exceeds the estimated fair value of the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tangible and intangible assets acquired. Intangibles are recorded when such assets are acquired by purchase or license. The value of our intangibles, including goodwill, could be impacted by future adverse changes such as: (i) any future declines in our operating results; (ii) a decline in the value of technology company stocks, including the value of our common stock; (iii) a prolonged or more significant slowdown in the worldwide economy or the semiconductor industry; or (iv) failure to meet the performance projections included in our forecasts of future operating results.</w:t>
      </w:r>
    </w:p>
    <w:p>
      <w:pPr>
        <w:spacing w:after="0" w:line="158"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We account for goodwill and indefinite-lived intangible assets in accordance with the FASB's guidance, which requires annual testing for impairment or whenever events or circumstances make it more likely than not that an impairment may have occurred. We perform our annual impairment tests on the first day of the fourth quarter in each fiscal year. Our indefinite-lived intangible assets consist of in-process research and development ("IPRD").</w:t>
      </w:r>
    </w:p>
    <w:p>
      <w:pPr>
        <w:spacing w:after="0" w:line="187" w:lineRule="exact"/>
        <w:rPr>
          <w:sz w:val="20"/>
          <w:szCs w:val="20"/>
          <w:color w:val="auto"/>
        </w:rPr>
      </w:pPr>
    </w:p>
    <w:p>
      <w:pPr>
        <w:ind w:left="660" w:right="40"/>
        <w:spacing w:after="0" w:line="287" w:lineRule="auto"/>
        <w:rPr>
          <w:sz w:val="20"/>
          <w:szCs w:val="20"/>
          <w:color w:val="auto"/>
        </w:rPr>
      </w:pPr>
      <w:r>
        <w:rPr>
          <w:rFonts w:ascii="Arial" w:cs="Arial" w:eastAsia="Arial" w:hAnsi="Arial"/>
          <w:sz w:val="16"/>
          <w:szCs w:val="16"/>
          <w:color w:val="auto"/>
        </w:rPr>
        <w:t>We have the option to perform a qualitative assessment (commonly referred to as "step zero") to determine whether further quantitative analysis for impairment of goodwill or indefinite-lived intangible assets is necessary. In performing step zero for our impairment test, we are required to make assumptions and judgments including but not limited to, the following: the evaluation of macroeconomic conditions as related to our business; industry and market trends; and the overall future financial performance of our reporting units and future opportunities in the markets in which they operate. We also consider recent fair value calculations of our indefinite-lived 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we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w:t>
      </w:r>
    </w:p>
    <w:p>
      <w:pPr>
        <w:spacing w:after="0" w:line="173"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For indefinite-lived intangible assets, the quantitative analysis compares the carrying value of the asset to its fair value and an impairment charge is recognized for the amount its carrying value exceeds its fair value. 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our business strategy or our internal forecasts. Although we believe the assumptions, judgments and estimates we have made have been reasonable and appropriate, different assumptions, judgments and estimates could materially affect our results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Goodwill is allocated to our reporting units based on the expected benefit from the synergies of the business combinations generating the underlying goodwill. As of April 2, 2016, our goodwill balance of $2,135.7 million is allocated between our MP and IDP reporting units. For fiscal 2016, although there were no indicators of impairment, we opted to bypass the qualitative assessment and proceeded to perform fair value assessments of our reporting units (the first step of the quantitative impairment analysis) on the first day of the fourth quarter in fiscal 2016 as the fair value of the reporting units have changed (due to the Business Combination) since the last time we performed a quantitative analysis.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In performing these quantitative assessments, consistent with our historical approach, we used both the income and market approaches to estimate the fair value of our reporting units. The income approach involves discounting future estimated cash flows. The sum of the reporting unit cash flow projections was compared to our market capitalization in a discounted cash flow framework to calculate an overall implied internal rate of return (or discount rate) for the Company. Our market capitalization was adjusted to a control basis assuming a reasonable control premium, which resulted in an implied discount rate. This implied discount rate serves as a baseline for estimating the specific discount rate for each reporting unit.</w:t>
      </w:r>
    </w:p>
    <w:p>
      <w:pPr>
        <w:spacing w:after="0" w:line="158"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The discount rate used is the value-weighted average of our estimated cost of equity and debt (“cost of capital”) derived using both known and estimated customary market metrics. Our weighted average cost of capital is adjusted for each reporting unit to reflect a risk factor, if necessary, for each reporting unit. We perform sensitivity tests with respect to growth rates and discount rates used in the income approach. We believe the income approach is appropriate because it provides a fair value estimate based upon the respective reporting unit’s expected long-term operations and cash flow performance.</w:t>
      </w:r>
    </w:p>
    <w:p>
      <w:pPr>
        <w:spacing w:after="0" w:line="188" w:lineRule="exact"/>
        <w:rPr>
          <w:sz w:val="20"/>
          <w:szCs w:val="20"/>
          <w:color w:val="auto"/>
        </w:rPr>
      </w:pPr>
    </w:p>
    <w:p>
      <w:pPr>
        <w:jc w:val="both"/>
        <w:ind w:left="660" w:right="180"/>
        <w:spacing w:after="0" w:line="286" w:lineRule="auto"/>
        <w:rPr>
          <w:sz w:val="20"/>
          <w:szCs w:val="20"/>
          <w:color w:val="auto"/>
        </w:rPr>
      </w:pPr>
      <w:r>
        <w:rPr>
          <w:rFonts w:ascii="Arial" w:cs="Arial" w:eastAsia="Arial" w:hAnsi="Arial"/>
          <w:sz w:val="17"/>
          <w:szCs w:val="17"/>
          <w:color w:val="auto"/>
        </w:rPr>
        <w:t>We considered historical rates and current market conditions when determining the discount and growth rates used in our analysis. For fiscal 2016, the material assumptions used for the income approach were eight years of projected net cash flows and a long-term growth rate of 3% for both the MP and IDP reporting units. A discount rate of 15% and 16% was used for the MP and IDP reporting units, respectively.</w:t>
      </w:r>
    </w:p>
    <w:p>
      <w:pPr>
        <w:spacing w:after="0" w:line="166"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In applying the market approach, valuation multiples are derived from historical and projected operating data of selected guideline companies, which are evaluated and adjusted, if necessary, based on the strengths and weaknesses of the reporting unit relative to the selected guideline companies. The valuation multiples are then applied to the appropriate historical and/or projected operating data of the reporting unit to arrive at an indication of fair value. We believe the market approach is appropriate because it provides a fair value using multiples from companies with operations and economic characteristics similar to our reporting units. We weighted the results of the income approach and the results of the market approach at 50% each and for the MP and IDP reporting units, concluded that the fair value of the reporting units was determined to be substantially in excess of the carrying value, and as such, no further analysis was warranted.</w:t>
      </w:r>
    </w:p>
    <w:p>
      <w:pPr>
        <w:spacing w:after="0" w:line="178"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Under the income approach described above, the following indicates the sensitivity of key assumptions utilized in the assessment. A one percentage point decrease in the discount rate would have increased the fair value of the MP and IDP reporting units by approximately $660.0 million and $140.0 million, respectively, while a one percentage point increase in the discount rate would have decreased the fair value of the MP and IDP reporting units by approximately $560.0 million and $110.0 million, respectively. A one percentage point decrease in the long-term growth rate would have decreased the fair value of the MP and IDP reporting units by approximately $290.0 million and $50.0 million, respectively, while a one percentage point increase in the long-term growth rate would have increased the fair value of the MP and IDP reporting units by approximately $340.0 million and $70.0 million, respectively.</w:t>
      </w:r>
    </w:p>
    <w:p>
      <w:pPr>
        <w:spacing w:after="0" w:line="189" w:lineRule="exact"/>
        <w:rPr>
          <w:sz w:val="20"/>
          <w:szCs w:val="20"/>
          <w:color w:val="auto"/>
        </w:rPr>
      </w:pPr>
    </w:p>
    <w:p>
      <w:pPr>
        <w:jc w:val="both"/>
        <w:ind w:left="660" w:right="160"/>
        <w:spacing w:after="0" w:line="259" w:lineRule="auto"/>
        <w:rPr>
          <w:sz w:val="20"/>
          <w:szCs w:val="20"/>
          <w:color w:val="auto"/>
        </w:rPr>
      </w:pPr>
      <w:r>
        <w:rPr>
          <w:rFonts w:ascii="Arial" w:cs="Arial" w:eastAsia="Arial" w:hAnsi="Arial"/>
          <w:sz w:val="18"/>
          <w:szCs w:val="18"/>
          <w:color w:val="auto"/>
        </w:rPr>
        <w:t>In fiscal years 2015 and 2014, we completed our annual qualitative impairment assessments of goodwill which included but were not limited to the evaluation of macroeconomic conditions as related to our business; industry and market trends; and the overall future financial performance of our reporting units and future opportunities in the markets in which they operate. For both fiscal years 2015 and 2014, based on these assessments, we concluded that goodwill was not impaired.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resume performing qualitative assessments in future fiscal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with Indefinite Lives</w:t>
      </w:r>
    </w:p>
    <w:p>
      <w:pPr>
        <w:spacing w:after="0" w:line="225"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In fiscal 2015, as a result of the Business Combination, we recorded IPRD of $470.0 million. IPRD was recorded at fair value as of the date of acquisition as an indefinite-lived intangible asset until the completion or abandonment of the associated R&amp;D efforts or impairment. The fair value of the acquired IPRD was determined based on an income approach using the "excess earnings method," which estimated the value of the intangible assets by discounting the future projected earnings of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asset to present value as of the valuation date. Upon completion of development, acquired IPRD assets are transferred to finite-lived intangible assets and amortized over their useful lives. During fiscal 2016, we completed and transferred into developed technology approximately $203.0 million of IPRD. We performed a qualitative assessment of the remaining IPRD during fiscal 2016 and concluded that IPRD was not impaired.</w:t>
      </w:r>
    </w:p>
    <w:p>
      <w:pPr>
        <w:spacing w:after="0" w:line="166"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See Note 6 of the Notes to the Consolidated Financial Statements in Part II, Item 8 of this report for additional information regarding an impairment of assets recorded in the fourth quarter of fiscal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jc w:val="both"/>
        <w:ind w:left="660" w:right="240"/>
        <w:spacing w:after="0" w:line="264" w:lineRule="auto"/>
        <w:rPr>
          <w:sz w:val="20"/>
          <w:szCs w:val="20"/>
          <w:color w:val="auto"/>
        </w:rPr>
      </w:pPr>
      <w:r>
        <w:rPr>
          <w:rFonts w:ascii="Arial" w:cs="Arial" w:eastAsia="Arial" w:hAnsi="Arial"/>
          <w:sz w:val="18"/>
          <w:szCs w:val="18"/>
          <w:color w:val="auto"/>
        </w:rPr>
        <w:t>Intangible assets are recorded when such assets are acquired by purchase or license. Finite-lived intangible assets consist primarily of technology licenses, customer relationships, developed technology, a wafer supply agreement, trade names and backlog resulting from business combinations and are subject to amortization.</w:t>
      </w:r>
    </w:p>
    <w:p>
      <w:pPr>
        <w:spacing w:after="0" w:line="18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Technology licenses are recorded at cost and are amortized on a straight-line basis over the lesser of the estimated useful life of the technology or the term of the license agreement, ranging from approximately five to eight years.</w:t>
      </w:r>
    </w:p>
    <w:p>
      <w:pPr>
        <w:spacing w:after="0" w:line="170"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2013 and 2015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187" w:lineRule="exact"/>
        <w:rPr>
          <w:sz w:val="20"/>
          <w:szCs w:val="20"/>
          <w:color w:val="auto"/>
        </w:rPr>
      </w:pPr>
    </w:p>
    <w:p>
      <w:pPr>
        <w:jc w:val="both"/>
        <w:ind w:left="660" w:right="140"/>
        <w:spacing w:after="0" w:line="312" w:lineRule="auto"/>
        <w:rPr>
          <w:sz w:val="20"/>
          <w:szCs w:val="20"/>
          <w:color w:val="auto"/>
        </w:rPr>
      </w:pPr>
      <w:r>
        <w:rPr>
          <w:rFonts w:ascii="Arial" w:cs="Arial" w:eastAsia="Arial" w:hAnsi="Arial"/>
          <w:sz w:val="16"/>
          <w:szCs w:val="16"/>
          <w:color w:val="auto"/>
        </w:rPr>
        <w:t>The fair value of developed technology acquired during fiscal years 2013 and 2015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four to six years.</w:t>
      </w:r>
    </w:p>
    <w:p>
      <w:pPr>
        <w:spacing w:after="0" w:line="147"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The fair value of the wafer supply agreement was determined using the incremental income method, which is a discounted cash flow method within the income approach. Under this method, the fair value was estimated by discounting to present value the additional savings from expense reductions in operations at a discount rate to reflect the risk inherent in the wafer supply agreement as well as any tax benefits. The wafer supply agreement was amortized on a units of use activity method over its useful life of approximately four years and was fully amortized as of April 2, 2016.</w:t>
      </w:r>
    </w:p>
    <w:p>
      <w:pPr>
        <w:spacing w:after="0" w:line="154" w:lineRule="exact"/>
        <w:rPr>
          <w:sz w:val="20"/>
          <w:szCs w:val="20"/>
          <w:color w:val="auto"/>
        </w:rPr>
      </w:pPr>
    </w:p>
    <w:p>
      <w:pPr>
        <w:jc w:val="both"/>
        <w:ind w:left="660" w:right="80"/>
        <w:spacing w:after="0" w:line="264" w:lineRule="auto"/>
        <w:rPr>
          <w:sz w:val="20"/>
          <w:szCs w:val="20"/>
          <w:color w:val="auto"/>
        </w:rPr>
      </w:pPr>
      <w:r>
        <w:rPr>
          <w:rFonts w:ascii="Arial" w:cs="Arial" w:eastAsia="Arial" w:hAnsi="Arial"/>
          <w:sz w:val="18"/>
          <w:szCs w:val="18"/>
          <w:color w:val="auto"/>
        </w:rPr>
        <w:t>The fair value of trade names acquired in fiscal 2015 was determined based on an income approach using the "relief from royalty method," in which the value of the asset is determined by discounting the future projected cash flows generated from the trade name's estimated royalties. Trade names are amortized on a straight-line basis over the estimated useful life of three years.</w:t>
      </w:r>
    </w:p>
    <w:p>
      <w:pPr>
        <w:spacing w:after="0" w:line="18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The fair value of backlog acquired in fiscal 2015 was determined based on an income approach using the "excess earnings method" and was fully amortized as of April 2, 2016.</w:t>
      </w:r>
    </w:p>
    <w:p>
      <w:pPr>
        <w:spacing w:after="0" w:line="170" w:lineRule="exact"/>
        <w:rPr>
          <w:sz w:val="20"/>
          <w:szCs w:val="20"/>
          <w:color w:val="auto"/>
        </w:rPr>
      </w:pPr>
    </w:p>
    <w:p>
      <w:pPr>
        <w:ind w:left="660" w:right="140"/>
        <w:spacing w:after="0" w:line="276" w:lineRule="auto"/>
        <w:rPr>
          <w:sz w:val="20"/>
          <w:szCs w:val="20"/>
          <w:color w:val="auto"/>
        </w:rPr>
      </w:pPr>
      <w:r>
        <w:rPr>
          <w:rFonts w:ascii="Arial" w:cs="Arial" w:eastAsia="Arial" w:hAnsi="Arial"/>
          <w:sz w:val="17"/>
          <w:szCs w:val="17"/>
          <w:color w:val="auto"/>
        </w:rPr>
        <w:t>We regularly review identified intangible assets to determine if facts and circumstances indicate that the useful life is shorter than we originally estimated or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73"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We review the carrying values of all long-lived assets whenever events or changes in circumstances indicate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carrying values may not be recoverable. Factors that we consider in deciding when to perform an impairment review include significant under-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performance of a business, significant negative industry or economic trends, and significant changes or planned changes in our use of assets.</w:t>
      </w:r>
    </w:p>
    <w:p>
      <w:pPr>
        <w:spacing w:after="0" w:line="237"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In making impairment determinations for long-lived assets, we utilize certain assumptions, including but not limited to: (i) estimations and quoted market prices of the fair market value of the assets; and (ii) estimations of future cash flows expected to be generated by these assets, which are based on additional assumptions such as asset utilization, length of service that the asset will be used in our operations and estimated salvage values.</w:t>
      </w:r>
    </w:p>
    <w:p>
      <w:pPr>
        <w:spacing w:after="0" w:line="147"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cost is measured at the grant date, based on the estimated fair value of the award using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pricing model for stock options (Black-Scholes) and market price for restricted stock units, and is recognized as expense over the employee's requisite service period. The Black-Scholes option pricing model requires a number of assumptions, including the expected lives of stock options, the volatility of the public market price for our common stock and interest rates.</w:t>
      </w:r>
    </w:p>
    <w:p>
      <w:pPr>
        <w:spacing w:after="0" w:line="171" w:lineRule="exact"/>
        <w:rPr>
          <w:sz w:val="20"/>
          <w:szCs w:val="20"/>
          <w:color w:val="auto"/>
        </w:rPr>
      </w:pPr>
    </w:p>
    <w:p>
      <w:pPr>
        <w:ind w:left="660" w:right="44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determining income for financial statement purposes, we must make certain estimates and judgments in the calculation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As part of our financial process, we assess on a tax jurisdictional basis the likelihood that our deferred tax assets can be recovered. If recovery is not likely (a likelihood of less than 50 percent), the provision for taxes must be increased by recording a reserve in the form of a valuation allowance for the deferred tax assets that are estimated not to ultimately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See Note 11 of the Notes to the Consolidated Financial Statements in Part II, Item 8 of this report for additional information regarding changes in the valuation allowance and net deferred tax assets.</w:t>
      </w:r>
    </w:p>
    <w:p>
      <w:pPr>
        <w:spacing w:after="0" w:line="169"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As part of our financial process, we also assess the likelihood that our tax reporting positions will ultimately be sustained. To the extent it is determined it is more likely than not that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See Note 11 of the Notes to the Consolidated Financial Statements in Part II, Item 8 of this report for additional information regarding our uncertain tax positions and the amount of unrecognized tax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("ASU") 2016-09, </w:t>
      </w:r>
      <w:r>
        <w:rPr>
          <w:rFonts w:ascii="Arial" w:cs="Arial" w:eastAsia="Arial" w:hAnsi="Arial"/>
          <w:sz w:val="18"/>
          <w:szCs w:val="18"/>
          <w:i w:val="1"/>
          <w:iCs w:val="1"/>
          <w:color w:val="auto"/>
        </w:rPr>
        <w:t>"Compensation - 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The new guidance will simplify certain aspects of accounting for share-based payment transactions,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consequences, forfeitures, classification of awards on the balance sheet and presentation on the statement of cash flows. The new standard will become effective for us beginning in the first quarter of fiscal 2018. We are currently evaluating the effects this new guidance will have on our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standard will revise the current guidance for lessees, lessors and sale-leaseback transactions. Under the new guidance substantially all lessees will now recognize a right-of-use asset and a lease liability for all of their leases with terms greater than 12 months even if the lease is an operating lease. Consistent with current GAAP, the recognition, measurement, and presentation of expenses and cash flow arising from a lease by a lessee primarily will depend on its classification as a finance or operating lease. The new guidance becomes effective for us in the first quarter of fiscal 2020. We are currently evaluating the effects the new guidance will have on our consolidated financial statements.</w:t>
      </w:r>
    </w:p>
    <w:p>
      <w:pPr>
        <w:spacing w:after="0" w:line="15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This new standard will affect the accounting for equity investments, financial liabilities measured under the fair value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us beginning in the first quarter of fiscal 2019. We are currently evaluating the effects this new standard will have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the FASB issued ASU 2015-16, "</w:t>
      </w:r>
      <w:r>
        <w:rPr>
          <w:rFonts w:ascii="Arial" w:cs="Arial" w:eastAsia="Arial" w:hAnsi="Arial"/>
          <w:sz w:val="18"/>
          <w:szCs w:val="18"/>
          <w:i w:val="1"/>
          <w:iCs w:val="1"/>
          <w:color w:val="auto"/>
        </w:rPr>
        <w:t>Business Combinations (Topic 805): Simplifying the</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i w:val="1"/>
          <w:iCs w:val="1"/>
          <w:color w:val="auto"/>
        </w:rPr>
        <w:t xml:space="preserve">Accounting for Measurement-Period Adjustments." </w:t>
      </w:r>
      <w:r>
        <w:rPr>
          <w:rFonts w:ascii="Arial" w:cs="Arial" w:eastAsia="Arial" w:hAnsi="Arial"/>
          <w:sz w:val="16"/>
          <w:szCs w:val="16"/>
          <w:color w:val="auto"/>
        </w:rPr>
        <w:t>This standard requires an acquirer in a business combination to recognize adjustments to provisional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that are identified during the measurement period in the reporting period in which the adjustment amounts are determined. The effect on earnings of changes in depreciation, amortization or other income effects, as a result of the change in provisional amounts, are to be included in the same period’s financial statements, calculated as if the accounting had been completed at the acquisition date. The amendments in this update are effective for us beginning in the first quarter of fiscal 2017 and will be applied prospectively to adjustments to provisional amounts that occur after the effective date of this ASU.</w:t>
      </w:r>
    </w:p>
    <w:p>
      <w:pPr>
        <w:spacing w:after="0" w:line="1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Entities that measure their inventory other than the last-in, last-out and retail inventory methods will measure their inventory at the lower of cost or net realized value. Net realized value is the estimated selling price in the ordinary course of business less reasonably predictable costs to completion, transportation, or disposal. Currently, inventory is required to be measured at the lower of cost or market where market could be the replacement cost, net realizable value, or net realizable value less an approximated normal profit margin. We will adopt the provisions of this standard in the first quarter of fiscal 2018 and we are currently evaluating the effects it will have on our consolidated financial statements.</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April 2015, the FASB issued ASU 2015-05</w:t>
      </w:r>
      <w:r>
        <w:rPr>
          <w:rFonts w:ascii="Arial" w:cs="Arial" w:eastAsia="Arial" w:hAnsi="Arial"/>
          <w:sz w:val="17"/>
          <w:szCs w:val="17"/>
          <w:i w:val="1"/>
          <w:iCs w:val="1"/>
          <w:color w:val="auto"/>
        </w:rPr>
        <w:t>, "Intangibles - Goodwill and Other - Internal-Use Software (Subtopic 350-40): 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which provides additional guidance to customers about whether a cloud computing arrangement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 Under this guidance, if a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We will adopt the provisions of this standard in the first quarter of fiscal 2017, and we do not expect this new guidance to have a significant impact on our consolidated financial statements.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The FASB has issued several amendments to the new guidance. In August 2015, they delayed the effective date for adoption by one year. In March 2016, additional guidance was issued that clarifies the principal versus agent considerations within the new revenue standard. In April 2016, additional guidance was issued that clarifies the identification of distinct performance obligations in a contract as well as clarifies the accounting for licenses of intellectual property. In May 2016, additional guidance was issued related to transition, collectibility, non-cash consideration and the presentation of sales and other similar taxes. The new amended guidance will become effective for us in the first quarter of fiscal 2019, using one of two retrospective methods of adoption. We have not determined which method we will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adopt and we are currently evaluating the effects the new guidance will have on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which required entities to present deferred tax assets ("DTA") and deferred tax liabilities ("DTL") as non-current in a classified balance sheet. This ASU simplified the current guidance, which required entities to separately present DTAs and DTLs as current and non-current in a classified balance sheet. We adopted ASU 2015-17 in the third quarter of fiscal 2016, as we believed the adoption of this standard reduced the complexity of our consolidated financial statements as well as enhanced the usefulness of the related financial information. Prior periods presented in the Consolidated Balance Sheet were not retrospectively adjusted.</w:t>
      </w:r>
    </w:p>
    <w:p>
      <w:pPr>
        <w:spacing w:after="0" w:line="15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 - Imputation of Interest (Subtopic 835-30): Simplifying the Presentation of Debt Issuance Costs."</w:t>
      </w:r>
      <w:r>
        <w:rPr>
          <w:rFonts w:ascii="Arial" w:cs="Arial" w:eastAsia="Arial" w:hAnsi="Arial"/>
          <w:sz w:val="17"/>
          <w:szCs w:val="17"/>
          <w:color w:val="auto"/>
        </w:rPr>
        <w:t xml:space="preserve"> ASU 2015-03 required debt issuance costs related to a recognized debt liability be presented in the balance sheet as a direct deduction from the related debt liability's carrying value, which is consistent with the presentation of debt discounts. We elected to early adopt this guidance in fiscal 2016, and as a result, debt issuance costs are presented as a direct deduction of Long-term debt on the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exposed to financial market risks, including changes in interest rates, currency exchange rates and certain commodity prices. The overall objective of our financial risk management program is to seek a reduction in the potential negative earnings effects from changes in interest rates, foreign exchange rates and commodity prices arising from our business activities. We manage these financial exposures through operational means and by using various financial instruments. These practices may change as economic conditions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securities</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exposed to interest rate risk primarily from our investments in available-for-sale securities. In accordance with an investment policy approved by the Audit Committee of our Board of Directors, our available-for-sale securities are predominantly comprised of U.S. government/agency securities, money market funds and corporate debt. We continually monitor our exposure to changes in interest rates and the credit ratings of issuers with respect to our available-for-sale securities. As a result of this monitoring and volatility of the financial markets, we adopted a more conservative investment strategy, and we are currently investing in lower risk and consequently lower interest-bearing investments. Accordingly, we believe that the effects of changes in interest rates and the credit ratings of these issuers are limited and would not have a material impact on our financial condition or results of operations. However, it is possible that we would be at risk if interest rates or the credit ratings of these issuers were to change unfavorably.</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April 2, 2016, we held available-for-sale investments with an estimated fair value of $344.0 million. We do not purchase financial instruments for trading or speculative purposes. Our investments are classified as available-for-sale securities and are recorded on the balance sheet at fair value with unrealized gains and losses reported as a separate component of accumulated other comprehensive (loss) income. Our cash and cash equivalents and investments earned an average annual interest rate of less than 1% in fiscal 2016 or approximately $2.1 million in interest income. In fiscal 2015, our investments earned an average annual interest rate of approximately 0.1% or approximately $0.5 million in interest income. We do not have any investments denominated in foreign currencies and therefore are not subject to foreign currency risk on such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interest rates on this facility are variable; however, since we have no outstanding balances under the Credit Agreement, there is no interest rate risk related to this facility as of April 2, 2016.</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Costa Rica, Europe and Asia,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Renminbi, Euro, Pound Sterling and Costa Rican Colon. If the U.S. dollar weakens compared to the Renminbi, Euro, Pound Sterling, Costa Rican Colon and other currencies, our operating expenses for foreign operations will be higher when remeasured back into U.S. dollars. We seek to manage our foreign exchange risk in part through operational means.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fiscal 2016, we incurred a foreign currency loss of $0.7 million as compared to a loss of $0.2 million in fiscal 2015, which is recorded in “Other income (expense).”</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financial instrument holdings, including foreign receivables, cash and payables at April 2, 2016,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$1.6 million. If the U.S. dollar increased in value 10% in relation to the re-measured foreign currency instruments, our net income would have increased by approximately $1.3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routinely use precious metals in the manufacture of our products. Supplies for such commodities may from time to time become restricted, or general market factors and conditions may affect the pricing of such commodities. In fiscal 2015, we were able to complete process technology improvements that are replacing gold with lower-cost materials to reduce this exposure. We also have an active reclamation process to capture any unused gold. While we continue to attempt to mitigate the risk of similar increases in commodities-related costs, there can be no assurance that we will be able to successfully safeguard against potential short-term and long-term commodity price fluctuations.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30"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63"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547"/>
        </w:trPr>
        <w:tc>
          <w:tcPr>
            <w:tcW w:w="436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Consolidated Balance Sheets</w:t>
              </w:r>
            </w:hyperlink>
          </w:p>
        </w:tc>
        <w:tc>
          <w:tcPr>
            <w:tcW w:w="700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360" w:type="dxa"/>
            <w:vAlign w:val="bottom"/>
            <w:gridSpan w:val="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Consolidated Statements of Operations</w:t>
              </w:r>
            </w:hyperlink>
          </w:p>
        </w:tc>
        <w:tc>
          <w:tcPr>
            <w:tcW w:w="700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0"/>
        </w:trPr>
        <w:tc>
          <w:tcPr>
            <w:tcW w:w="2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40" w:type="dxa"/>
            <w:vAlign w:val="bottom"/>
            <w:gridSpan w:val="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Comprehensive Income (Loss)</w:t>
              </w:r>
            </w:hyperlink>
          </w:p>
        </w:tc>
        <w:tc>
          <w:tcPr>
            <w:tcW w:w="120" w:type="dxa"/>
            <w:vAlign w:val="bottom"/>
          </w:tcPr>
          <w:p>
            <w:pPr>
              <w:spacing w:after="0"/>
              <w:rPr>
                <w:sz w:val="21"/>
                <w:szCs w:val="21"/>
                <w:color w:val="auto"/>
              </w:rPr>
            </w:pPr>
          </w:p>
        </w:tc>
        <w:tc>
          <w:tcPr>
            <w:tcW w:w="700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5"/>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 xml:space="preserve">Consolidated Statements of </w:t>
              </w:r>
            </w:hyperlink>
            <w:r>
              <w:rPr>
                <w:rFonts w:ascii="Arial" w:cs="Arial" w:eastAsia="Arial" w:hAnsi="Arial"/>
                <w:sz w:val="18"/>
                <w:szCs w:val="18"/>
                <w:color w:val="0000FF"/>
                <w:w w:val="90"/>
              </w:rPr>
              <w:t>Stockholders' Equity</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Consolidated Statements of Cash Flows</w:t>
              </w:r>
            </w:hyperlink>
          </w:p>
        </w:tc>
        <w:tc>
          <w:tcPr>
            <w:tcW w:w="840" w:type="dxa"/>
            <w:vAlign w:val="bottom"/>
            <w:gridSpan w:val="2"/>
          </w:tcPr>
          <w:p>
            <w:pPr>
              <w:spacing w:after="0"/>
              <w:rPr>
                <w:sz w:val="21"/>
                <w:szCs w:val="21"/>
                <w:color w:val="auto"/>
              </w:rPr>
            </w:pPr>
          </w:p>
        </w:tc>
        <w:tc>
          <w:tcPr>
            <w:tcW w:w="700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360" w:type="dxa"/>
            <w:vAlign w:val="bottom"/>
            <w:gridSpan w:val="7"/>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Notes to Consolidated Financial Statements</w:t>
              </w:r>
            </w:hyperlink>
          </w:p>
        </w:tc>
        <w:tc>
          <w:tcPr>
            <w:tcW w:w="700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61</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360" w:type="dxa"/>
            <w:vAlign w:val="bottom"/>
            <w:gridSpan w:val="7"/>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Reports of Independent Registered Public Accounting Firms</w:t>
              </w:r>
            </w:hyperlink>
          </w:p>
        </w:tc>
        <w:tc>
          <w:tcPr>
            <w:tcW w:w="7000" w:type="dxa"/>
            <w:vAlign w:val="bottom"/>
            <w:gridSpan w:val="3"/>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97</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30"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Qorvo, Inc. and Subsidiaries</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 2016</w:t>
            </w:r>
          </w:p>
        </w:tc>
        <w:tc>
          <w:tcPr>
            <w:tcW w:w="220" w:type="dxa"/>
            <w:vAlign w:val="bottom"/>
          </w:tcPr>
          <w:p>
            <w:pPr>
              <w:spacing w:after="0"/>
              <w:rPr>
                <w:sz w:val="20"/>
                <w:szCs w:val="20"/>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28, 2015</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 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425,881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299,814</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(Notes 1 &amp; 3)</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186,808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244,830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Accounts receivable, less allowance of $143 and $539 as of April 2, 2016 and March 28,</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316,356</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353,830</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(Notes 1 &amp; 4)</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427,551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346,900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52,169</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8"/>
                <w:szCs w:val="18"/>
                <w:i w:val="1"/>
                <w:iCs w:val="1"/>
                <w:color w:val="auto"/>
              </w:rPr>
              <w:t>(Note 1)</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47,380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25,816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assets (</w:t>
            </w:r>
            <w:r>
              <w:rPr>
                <w:rFonts w:ascii="Arial" w:cs="Arial" w:eastAsia="Arial" w:hAnsi="Arial"/>
                <w:sz w:val="18"/>
                <w:szCs w:val="18"/>
                <w:i w:val="1"/>
                <w:iCs w:val="1"/>
                <w:color w:val="auto"/>
              </w:rPr>
              <w:t>Notes 1 &amp; 11</w:t>
            </w: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150,208</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(Notes 1 &amp; 8)</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41,384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26,538</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1,509,210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1,500,105</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25,326</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Building and leasehold improvements</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337,875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253,224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1,188,310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919,651</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13,884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12,951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51,641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45,807</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1,616,965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1,256,959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(751,898)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(609,576)</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865,067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647,383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181,821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235,988</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1,046,888</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883,371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(Notes 1, 5 &amp; 6)</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2,135,697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2,140,586</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(Notes 1, 5 &amp; 6)</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1,812,515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2,307,229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(Notes 1 &amp; 3)</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(Notes 8 &amp; 11)</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66,459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57,005</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6,596,819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6,892,379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205,364</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182,468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Accrued liabilities </w:t>
            </w:r>
            <w:r>
              <w:rPr>
                <w:rFonts w:ascii="Arial" w:cs="Arial" w:eastAsia="Arial" w:hAnsi="Arial"/>
                <w:sz w:val="18"/>
                <w:szCs w:val="18"/>
                <w:i w:val="1"/>
                <w:iCs w:val="1"/>
                <w:color w:val="auto"/>
              </w:rPr>
              <w:t>(Notes 8, 9, &amp; 10)</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131,871</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Other current liabilities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30,548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373,801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325,310</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7)</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988,130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152,160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310,189</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(Notes 8, 9, 10 &amp; 11)</w:t>
            </w:r>
          </w:p>
        </w:tc>
        <w:tc>
          <w:tcPr>
            <w:tcW w:w="2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83,056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83,720</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1,597,147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719,219</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9)</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w w:val="90"/>
              </w:rPr>
              <w:t>Preferred stock, $.0001 par value; 5,000 shares authorized; no shares issued and outstanding</w:t>
            </w:r>
          </w:p>
        </w:tc>
        <w:tc>
          <w:tcPr>
            <w:tcW w:w="280" w:type="dxa"/>
            <w:vAlign w:val="bottom"/>
          </w:tcPr>
          <w:p>
            <w:pPr>
              <w:spacing w:after="0"/>
              <w:rPr>
                <w:sz w:val="21"/>
                <w:szCs w:val="21"/>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Common stock and additional paid-in capital, $.0001 par value; 405,000 shares authorized;</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127,386 and 149,059 shares issued and outstanding at April 2, 2016 and March 28, 2015,</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5,442,613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6,584,247</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(410,963)</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4,999,672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6,173,160</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6,596,819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6,892,379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i w:val="1"/>
          <w:iCs w:val="1"/>
          <w:color w:val="auto"/>
        </w:rPr>
        <w:t>See accompanying notes.</w:t>
      </w:r>
    </w:p>
    <w:p>
      <w:pPr>
        <w:sectPr>
          <w:pgSz w:w="11900" w:h="16838" w:orient="portrait"/>
          <w:cols w:equalWidth="0" w:num="1">
            <w:col w:w="11240"/>
          </w:cols>
          <w:pgMar w:left="240" w:top="122" w:right="419" w:bottom="946" w:gutter="0" w:footer="0" w:header="0"/>
        </w:sect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240" w:top="122" w:right="419" w:bottom="946"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Fiscal Year</w:t>
      </w: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284"/>
        </w:trPr>
        <w:tc>
          <w:tcPr>
            <w:tcW w:w="642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7"/>
        </w:trPr>
        <w:tc>
          <w:tcPr>
            <w:tcW w:w="6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2,610,726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1,710,966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1,148,231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Cost of goods sold (</w:t>
            </w:r>
            <w:r>
              <w:rPr>
                <w:rFonts w:ascii="Arial" w:cs="Arial" w:eastAsia="Arial" w:hAnsi="Arial"/>
                <w:sz w:val="18"/>
                <w:szCs w:val="18"/>
                <w:i w:val="1"/>
                <w:iCs w:val="1"/>
                <w:color w:val="auto"/>
              </w:rPr>
              <w:t>Note 6)</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1,561,173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1,021,658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743,304</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1,049,553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689,308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404,927</w:t>
            </w:r>
          </w:p>
        </w:tc>
      </w:tr>
      <w:tr>
        <w:trPr>
          <w:trHeight w:val="297"/>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448,763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257,494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197,269</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Marketing and selling (</w:t>
            </w:r>
            <w:r>
              <w:rPr>
                <w:rFonts w:ascii="Arial" w:cs="Arial" w:eastAsia="Arial" w:hAnsi="Arial"/>
                <w:sz w:val="18"/>
                <w:szCs w:val="18"/>
                <w:i w:val="1"/>
                <w:iCs w:val="1"/>
                <w:color w:val="auto"/>
              </w:rPr>
              <w:t>Note 6)</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420,467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164,657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74,672</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113,632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85,229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76,732</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(Notes 5, 6 &amp; 10)</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59,462</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28,913</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1,037,585</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566,842</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377,586</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27,341</w:t>
            </w:r>
          </w:p>
        </w:tc>
      </w:tr>
      <w:tr>
        <w:trPr>
          <w:trHeight w:val="297"/>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w:t>
            </w:r>
            <w:r>
              <w:rPr>
                <w:rFonts w:ascii="Arial" w:cs="Arial" w:eastAsia="Arial" w:hAnsi="Arial"/>
                <w:sz w:val="18"/>
                <w:szCs w:val="18"/>
                <w:i w:val="1"/>
                <w:iCs w:val="1"/>
                <w:color w:val="auto"/>
              </w:rPr>
              <w:t>Note 7)</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r>
      <w:tr>
        <w:trPr>
          <w:trHeight w:val="297"/>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121,241</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23,873</w:t>
            </w:r>
          </w:p>
        </w:tc>
      </w:tr>
      <w:tr>
        <w:trPr>
          <w:trHeight w:val="284"/>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8"/>
                <w:szCs w:val="18"/>
                <w:i w:val="1"/>
                <w:iCs w:val="1"/>
                <w:color w:val="auto"/>
              </w:rPr>
              <w:t>(Note 11)</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(25,983)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75,062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(11,231)</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196,303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12,642</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(loss) income per share </w:t>
            </w:r>
            <w:r>
              <w:rPr>
                <w:rFonts w:ascii="Arial" w:cs="Arial" w:eastAsia="Arial" w:hAnsi="Arial"/>
                <w:sz w:val="18"/>
                <w:szCs w:val="18"/>
                <w:i w:val="1"/>
                <w:iCs w:val="1"/>
                <w:color w:val="auto"/>
              </w:rPr>
              <w:t>(Note 12):</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r>
      <w:tr>
        <w:trPr>
          <w:trHeight w:val="251"/>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Weighted average shares of common stock outstanding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141,937</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90,477</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70,499</w:t>
            </w:r>
          </w:p>
        </w:tc>
      </w:tr>
      <w:tr>
        <w:trPr>
          <w:trHeight w:val="251"/>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141,937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93,211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72,019</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Fiscal Year</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43"/>
        </w:trPr>
        <w:tc>
          <w:tcPr>
            <w:tcW w:w="6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7"/>
        </w:trPr>
        <w:tc>
          <w:tcPr>
            <w:tcW w:w="6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196,303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12,642</w:t>
            </w:r>
          </w:p>
        </w:tc>
      </w:tr>
      <w:tr>
        <w:trPr>
          <w:trHeight w:val="223"/>
        </w:trPr>
        <w:tc>
          <w:tcPr>
            <w:tcW w:w="602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6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Change in pension liability, net of tax</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Foreign currency translation adjustment, including intra-entity foreign currency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that are of a long-term-investment nature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Recognized gain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Total comprehensive (loss)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(31,854)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196,964</w:t>
            </w:r>
          </w:p>
        </w:tc>
        <w:tc>
          <w:tcPr>
            <w:tcW w:w="2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12,355</w:t>
            </w:r>
          </w:p>
        </w:tc>
      </w:tr>
      <w:tr>
        <w:trPr>
          <w:trHeight w:val="27"/>
        </w:trPr>
        <w:tc>
          <w:tcPr>
            <w:tcW w:w="6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40"/>
          </w:cols>
          <w:pgMar w:left="240" w:top="125" w:right="9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37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700" w:type="dxa"/>
            <w:vAlign w:val="bottom"/>
          </w:tcPr>
          <w:p>
            <w:pPr>
              <w:spacing w:after="0"/>
              <w:rPr>
                <w:sz w:val="23"/>
                <w:szCs w:val="23"/>
                <w:color w:val="auto"/>
              </w:rPr>
            </w:pPr>
          </w:p>
        </w:tc>
        <w:tc>
          <w:tcPr>
            <w:tcW w:w="2620" w:type="dxa"/>
            <w:vAlign w:val="bottom"/>
            <w:gridSpan w:val="5"/>
          </w:tcPr>
          <w:p>
            <w:pPr>
              <w:ind w:left="74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23"/>
                <w:szCs w:val="2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700" w:type="dxa"/>
            <w:vAlign w:val="bottom"/>
          </w:tcPr>
          <w:p>
            <w:pPr>
              <w:spacing w:after="0"/>
              <w:rPr>
                <w:sz w:val="23"/>
                <w:szCs w:val="23"/>
                <w:color w:val="auto"/>
              </w:rPr>
            </w:pPr>
          </w:p>
        </w:tc>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3"/>
                <w:szCs w:val="2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(Loss) Income</w:t>
            </w:r>
          </w:p>
        </w:tc>
        <w:tc>
          <w:tcPr>
            <w:tcW w:w="16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24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r>
      <w:tr>
        <w:trPr>
          <w:trHeight w:val="33"/>
        </w:trPr>
        <w:tc>
          <w:tcPr>
            <w:tcW w:w="3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30, 2013</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70,040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639,014</w:t>
            </w: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12,642</w:t>
            </w:r>
          </w:p>
        </w:tc>
      </w:tr>
      <w:tr>
        <w:trPr>
          <w:trHeight w:val="27"/>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3700" w:type="dxa"/>
            <w:vAlign w:val="bottom"/>
          </w:tcPr>
          <w:p>
            <w:pPr>
              <w:ind w:left="360"/>
              <w:spacing w:after="0"/>
              <w:rPr>
                <w:sz w:val="20"/>
                <w:szCs w:val="20"/>
                <w:color w:val="auto"/>
              </w:rPr>
            </w:pPr>
            <w:r>
              <w:rPr>
                <w:rFonts w:ascii="Arial" w:cs="Arial" w:eastAsia="Arial" w:hAnsi="Arial"/>
                <w:sz w:val="18"/>
                <w:szCs w:val="18"/>
                <w:color w:val="auto"/>
              </w:rPr>
              <w:t>Exercise of stock options and vesting of</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3700" w:type="dxa"/>
            <w:vAlign w:val="bottom"/>
          </w:tcPr>
          <w:p>
            <w:pPr>
              <w:ind w:left="520"/>
              <w:spacing w:after="0"/>
              <w:rPr>
                <w:sz w:val="20"/>
                <w:szCs w:val="20"/>
                <w:color w:val="auto"/>
              </w:rPr>
            </w:pPr>
            <w:r>
              <w:rPr>
                <w:rFonts w:ascii="Arial" w:cs="Arial" w:eastAsia="Arial" w:hAnsi="Arial"/>
                <w:sz w:val="18"/>
                <w:szCs w:val="18"/>
                <w:color w:val="auto"/>
              </w:rPr>
              <w:t>restricted stock units, net of shares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700" w:type="dxa"/>
            <w:vAlign w:val="bottom"/>
          </w:tcPr>
          <w:p>
            <w:pPr>
              <w:ind w:left="520"/>
              <w:spacing w:after="0"/>
              <w:rPr>
                <w:sz w:val="20"/>
                <w:szCs w:val="20"/>
                <w:color w:val="auto"/>
              </w:rPr>
            </w:pPr>
            <w:r>
              <w:rPr>
                <w:rFonts w:ascii="Arial" w:cs="Arial" w:eastAsia="Arial" w:hAnsi="Arial"/>
                <w:sz w:val="18"/>
                <w:szCs w:val="18"/>
                <w:color w:val="auto"/>
              </w:rPr>
              <w:t>withheld for employee taxes</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3,326</w:t>
            </w:r>
          </w:p>
        </w:tc>
      </w:tr>
      <w:tr>
        <w:trPr>
          <w:trHeight w:val="27"/>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Issuance of common stock in connection with</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r>
      <w:tr>
        <w:trPr>
          <w:trHeight w:val="229"/>
        </w:trPr>
        <w:tc>
          <w:tcPr>
            <w:tcW w:w="370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70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(12,780)</w:t>
            </w:r>
          </w:p>
        </w:tc>
      </w:tr>
      <w:tr>
        <w:trPr>
          <w:trHeight w:val="27"/>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Balance, March 29, 2014</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71,215</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1,284,402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(607,266)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676,351</w:t>
            </w:r>
          </w:p>
        </w:tc>
      </w:tr>
      <w:tr>
        <w:trPr>
          <w:trHeight w:val="67"/>
        </w:trPr>
        <w:tc>
          <w:tcPr>
            <w:tcW w:w="37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196,303</w:t>
            </w: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7"/>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 and vesting of</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3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restricted stock units, net of shares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7"/>
        </w:trPr>
        <w:tc>
          <w:tcPr>
            <w:tcW w:w="3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withheld for employee taxes</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r>
      <w:tr>
        <w:trPr>
          <w:trHeight w:val="229"/>
        </w:trPr>
        <w:tc>
          <w:tcPr>
            <w:tcW w:w="3700" w:type="dxa"/>
            <w:vAlign w:val="bottom"/>
          </w:tcPr>
          <w:p>
            <w:pPr>
              <w:ind w:left="360"/>
              <w:spacing w:after="0"/>
              <w:rPr>
                <w:sz w:val="20"/>
                <w:szCs w:val="20"/>
                <w:color w:val="auto"/>
              </w:rPr>
            </w:pPr>
            <w:r>
              <w:rPr>
                <w:rFonts w:ascii="Arial" w:cs="Arial" w:eastAsia="Arial" w:hAnsi="Arial"/>
                <w:sz w:val="18"/>
                <w:szCs w:val="18"/>
                <w:color w:val="auto"/>
              </w:rPr>
              <w:t>Issuance of common stock for Business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700" w:type="dxa"/>
            <w:vAlign w:val="bottom"/>
          </w:tcPr>
          <w:p>
            <w:pPr>
              <w:ind w:left="520"/>
              <w:spacing w:after="0"/>
              <w:rPr>
                <w:sz w:val="20"/>
                <w:szCs w:val="20"/>
                <w:color w:val="auto"/>
              </w:rPr>
            </w:pPr>
            <w:r>
              <w:rPr>
                <w:rFonts w:ascii="Arial" w:cs="Arial" w:eastAsia="Arial" w:hAnsi="Arial"/>
                <w:sz w:val="18"/>
                <w:szCs w:val="18"/>
                <w:color w:val="auto"/>
              </w:rPr>
              <w:t>Combination</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75,306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5,254,367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5,254,367</w:t>
            </w:r>
          </w:p>
        </w:tc>
      </w:tr>
      <w:tr>
        <w:trPr>
          <w:trHeight w:val="27"/>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Issuance of common stock in connection with</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Tax benefit from exercised stock options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9,834</w:t>
            </w:r>
          </w:p>
        </w:tc>
      </w:tr>
      <w:tr>
        <w:trPr>
          <w:trHeight w:val="27"/>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(50,874)</w:t>
            </w: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78,621</w:t>
            </w:r>
          </w:p>
        </w:tc>
      </w:tr>
      <w:tr>
        <w:trPr>
          <w:trHeight w:val="27"/>
        </w:trPr>
        <w:tc>
          <w:tcPr>
            <w:tcW w:w="3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28, 2015</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149,059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6,584,247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6,173,160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7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(28,845)</w:t>
            </w:r>
          </w:p>
        </w:tc>
      </w:tr>
      <w:tr>
        <w:trPr>
          <w:trHeight w:val="27"/>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r>
      <w:tr>
        <w:trPr>
          <w:trHeight w:val="229"/>
        </w:trPr>
        <w:tc>
          <w:tcPr>
            <w:tcW w:w="3700" w:type="dxa"/>
            <w:vAlign w:val="bottom"/>
          </w:tcPr>
          <w:p>
            <w:pPr>
              <w:ind w:left="360"/>
              <w:spacing w:after="0"/>
              <w:rPr>
                <w:sz w:val="20"/>
                <w:szCs w:val="20"/>
                <w:color w:val="auto"/>
              </w:rPr>
            </w:pPr>
            <w:r>
              <w:rPr>
                <w:rFonts w:ascii="Arial" w:cs="Arial" w:eastAsia="Arial" w:hAnsi="Arial"/>
                <w:sz w:val="18"/>
                <w:szCs w:val="18"/>
                <w:color w:val="auto"/>
              </w:rPr>
              <w:t>Exercise of stock options and vesting of</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3700" w:type="dxa"/>
            <w:vAlign w:val="bottom"/>
          </w:tcPr>
          <w:p>
            <w:pPr>
              <w:ind w:left="520"/>
              <w:spacing w:after="0"/>
              <w:rPr>
                <w:sz w:val="20"/>
                <w:szCs w:val="20"/>
                <w:color w:val="auto"/>
              </w:rPr>
            </w:pPr>
            <w:r>
              <w:rPr>
                <w:rFonts w:ascii="Arial" w:cs="Arial" w:eastAsia="Arial" w:hAnsi="Arial"/>
                <w:sz w:val="18"/>
                <w:szCs w:val="18"/>
                <w:color w:val="auto"/>
              </w:rPr>
              <w:t>restricted stock units, net of shares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700" w:type="dxa"/>
            <w:vAlign w:val="bottom"/>
          </w:tcPr>
          <w:p>
            <w:pPr>
              <w:ind w:left="520"/>
              <w:spacing w:after="0"/>
              <w:rPr>
                <w:sz w:val="20"/>
                <w:szCs w:val="20"/>
                <w:color w:val="auto"/>
              </w:rPr>
            </w:pPr>
            <w:r>
              <w:rPr>
                <w:rFonts w:ascii="Arial" w:cs="Arial" w:eastAsia="Arial" w:hAnsi="Arial"/>
                <w:sz w:val="18"/>
                <w:szCs w:val="18"/>
                <w:color w:val="auto"/>
              </w:rPr>
              <w:t>withheld for employee taxes</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2,156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4,406</w:t>
            </w:r>
          </w:p>
        </w:tc>
      </w:tr>
      <w:tr>
        <w:trPr>
          <w:trHeight w:val="27"/>
        </w:trPr>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Issuance of common stock in connection with</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17,967</w:t>
            </w:r>
          </w:p>
        </w:tc>
      </w:tr>
      <w:tr>
        <w:trPr>
          <w:trHeight w:val="293"/>
        </w:trPr>
        <w:tc>
          <w:tcPr>
            <w:tcW w:w="3700" w:type="dxa"/>
            <w:vAlign w:val="bottom"/>
          </w:tcPr>
          <w:p>
            <w:pPr>
              <w:ind w:left="360"/>
              <w:spacing w:after="0"/>
              <w:rPr>
                <w:sz w:val="20"/>
                <w:szCs w:val="20"/>
                <w:color w:val="auto"/>
              </w:rPr>
            </w:pPr>
            <w:r>
              <w:rPr>
                <w:rFonts w:ascii="Arial" w:cs="Arial" w:eastAsia="Arial" w:hAnsi="Arial"/>
                <w:sz w:val="18"/>
                <w:szCs w:val="18"/>
                <w:color w:val="auto"/>
              </w:rPr>
              <w:t>Tax benefit from exercised stock options</w:t>
            </w:r>
          </w:p>
        </w:tc>
        <w:tc>
          <w:tcPr>
            <w:tcW w:w="12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33"/>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w:t>
            </w: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7"/>
        </w:trPr>
        <w:tc>
          <w:tcPr>
            <w:tcW w:w="3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(24,258)</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(1,300,009)</w:t>
            </w:r>
          </w:p>
        </w:tc>
      </w:tr>
      <w:tr>
        <w:trPr>
          <w:trHeight w:val="243"/>
        </w:trPr>
        <w:tc>
          <w:tcPr>
            <w:tcW w:w="37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135,366</w:t>
            </w:r>
          </w:p>
        </w:tc>
      </w:tr>
      <w:tr>
        <w:trPr>
          <w:trHeight w:val="27"/>
        </w:trPr>
        <w:tc>
          <w:tcPr>
            <w:tcW w:w="3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April 2, 2016</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127,386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5,442,613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4,999,672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00"/>
          </w:cols>
          <w:pgMar w:left="240" w:top="125" w:right="1059" w:bottom="1440" w:gutter="0" w:footer="0" w:header="0"/>
        </w:sectPr>
      </w:pPr>
    </w:p>
    <w:bookmarkStart w:id="58" w:name="page59"/>
    <w:bookmarkEnd w:id="58"/>
    <w:p>
      <w:pPr>
        <w:spacing w:after="0" w:line="8" w:lineRule="exact"/>
        <w:rPr>
          <w:sz w:val="20"/>
          <w:szCs w:val="20"/>
          <w:color w:val="auto"/>
        </w:rPr>
      </w:pPr>
    </w:p>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Fiscal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5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(28,845)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196,303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180,362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74,239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45,698</w:t>
            </w: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 xml:space="preserve">Intangible assets amortization </w:t>
            </w:r>
            <w:r>
              <w:rPr>
                <w:rFonts w:ascii="Arial" w:cs="Arial" w:eastAsia="Arial" w:hAnsi="Arial"/>
                <w:sz w:val="16"/>
                <w:szCs w:val="16"/>
                <w:i w:val="1"/>
                <w:iCs w:val="1"/>
                <w:color w:val="auto"/>
              </w:rPr>
              <w:t>(Note 6)</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494,589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142,749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28,638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Non-cash interest expense and 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5,101</w:t>
            </w: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Investment discount amortization, net</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Excess tax benefit from exercises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(12,189)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(109,970)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 xml:space="preserve">Loss on impairment of intangible assets </w:t>
            </w:r>
            <w:r>
              <w:rPr>
                <w:rFonts w:ascii="Arial" w:cs="Arial" w:eastAsia="Arial" w:hAnsi="Arial"/>
                <w:sz w:val="16"/>
                <w:szCs w:val="16"/>
                <w:i w:val="1"/>
                <w:iCs w:val="1"/>
                <w:color w:val="auto"/>
              </w:rPr>
              <w:t>(Note 6)</w:t>
            </w:r>
          </w:p>
        </w:tc>
        <w:tc>
          <w:tcPr>
            <w:tcW w:w="36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11,300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loss on investments and other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139,516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64,941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29,901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36,682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(30,369)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(84,116)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35,266</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Prepaid expenses and other current and non-current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(28,871)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(26,384)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(43,393)</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3,862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(3,884)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4,825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 payable/(recoverable)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(4,653)</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(13,088)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9,381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687,927</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305,624</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130,849</w:t>
            </w:r>
          </w:p>
        </w:tc>
        <w:tc>
          <w:tcPr>
            <w:tcW w:w="0" w:type="dxa"/>
            <w:vAlign w:val="bottom"/>
          </w:tcPr>
          <w:p>
            <w:pPr>
              <w:spacing w:after="0"/>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 of 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(340,527)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(387,734)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(125,037)</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maturities of available-for-sale securities</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390,009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261,185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130,999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the sale of investments</w:t>
            </w:r>
          </w:p>
        </w:tc>
        <w:tc>
          <w:tcPr>
            <w:tcW w:w="36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11,575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 of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224,324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the sale of business</w:t>
            </w:r>
          </w:p>
        </w:tc>
        <w:tc>
          <w:tcPr>
            <w:tcW w:w="36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(315,624)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(169,862)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(66,753)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sale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7,448</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(278,714)</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(63,942)</w:t>
            </w: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(57,033)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debt issuances</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1,175,000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(87,503)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Excess tax benefit from exercises of stock options</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935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13,993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(13,588)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the issuance of common stock</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51,875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46,072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Repurchase of common stock, including transaction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(1,300,009)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(50,874)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(12,780)</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Tax withholding paid on behalf of employees for restricted stock units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(22,168)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(34,250)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(9,113)</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Restricted cash associated with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6"/>
                <w:szCs w:val="16"/>
                <w:color w:val="auto"/>
              </w:rPr>
              <w:t>Other financing</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(282,852)</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(112,898)</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126,067</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127,916</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70,236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Cash and cash equivalents at the beginning of the period</w:t>
            </w:r>
          </w:p>
        </w:tc>
        <w:tc>
          <w:tcPr>
            <w:tcW w:w="3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299,814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171,898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101,662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the end of the period</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425,881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299,814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171,898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year for interest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Cash paid during the year for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34,942</w:t>
            </w:r>
          </w:p>
        </w:tc>
        <w:tc>
          <w:tcPr>
            <w:tcW w:w="22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34,590</w:t>
            </w:r>
          </w:p>
        </w:tc>
        <w:tc>
          <w:tcPr>
            <w:tcW w:w="20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15,350</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Non-cash investing and financing information: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6"/>
                <w:szCs w:val="16"/>
                <w:color w:val="auto"/>
              </w:rPr>
              <w:t>Capital expenditure adjustments included in liabilities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33,548</w:t>
            </w:r>
          </w:p>
        </w:tc>
        <w:tc>
          <w:tcPr>
            <w:tcW w:w="2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9,346</w:t>
            </w:r>
          </w:p>
        </w:tc>
        <w:tc>
          <w:tcPr>
            <w:tcW w:w="2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6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6210"/>
                    </a:xfrm>
                    <a:prstGeom prst="rect">
                      <a:avLst/>
                    </a:prstGeom>
                    <a:noFill/>
                  </pic:spPr>
                </pic:pic>
              </a:graphicData>
            </a:graphic>
          </wp:anchor>
        </w:drawing>
      </w:r>
    </w:p>
    <w:p>
      <w:pPr>
        <w:sectPr>
          <w:pgSz w:w="11900" w:h="16846" w:orient="portrait"/>
          <w:cols w:equalWidth="0" w:num="1">
            <w:col w:w="11420"/>
          </w:cols>
          <w:pgMar w:left="240" w:top="122" w:right="239" w:bottom="0" w:gutter="0" w:footer="0" w:header="0"/>
        </w:sectPr>
      </w:pP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Fair value of equity consideration related to Business Combination </w:t>
      </w:r>
      <w:r>
        <w:rPr>
          <w:rFonts w:ascii="Arial" w:cs="Arial" w:eastAsia="Arial" w:hAnsi="Arial"/>
          <w:sz w:val="14"/>
          <w:szCs w:val="14"/>
          <w:i w:val="1"/>
          <w:iCs w:val="1"/>
          <w:color w:val="auto"/>
        </w:rPr>
        <w:t>(Note 5)</w:t>
      </w:r>
    </w:p>
    <w:p>
      <w:pPr>
        <w:sectPr>
          <w:pgSz w:w="11900" w:h="16846" w:orient="portrait"/>
          <w:cols w:equalWidth="0" w:num="1">
            <w:col w:w="11420"/>
          </w:cols>
          <w:pgMar w:left="240" w:top="122" w:right="239" w:bottom="0" w:gutter="0" w:footer="0" w:header="0"/>
          <w:type w:val="continuous"/>
        </w:sectPr>
      </w:pPr>
    </w:p>
    <w:bookmarkStart w:id="59" w:name="page60"/>
    <w:bookmarkEnd w:id="59"/>
    <w:p>
      <w:pPr>
        <w:ind w:left="5340"/>
        <w:spacing w:after="0"/>
        <w:tabs>
          <w:tab w:leader="none" w:pos="6500" w:val="left"/>
          <w:tab w:leader="none" w:pos="7060" w:val="left"/>
          <w:tab w:leader="none" w:pos="7680" w:val="left"/>
          <w:tab w:leader="none" w:pos="8760" w:val="left"/>
          <w:tab w:leader="none" w:pos="9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5,254,367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p>
      <w:pPr>
        <w:spacing w:after="0" w:line="320"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120"/>
          </w:cols>
          <w:pgMar w:left="1440" w:top="125" w:right="3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Qorvo, Inc. and Subsidiaries</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4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122" w:right="1440"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2, 2016</w:t>
      </w:r>
    </w:p>
    <w:p>
      <w:pPr>
        <w:spacing w:after="0" w:line="34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22, 2014, RF Micro Devices, Inc. ("RFMD" and referred to herein as the "Company" prior to January 1, 2015) and TriQuint Semiconductor, Inc. ("TriQuint") entered into an Agreement and Plan of Merger and Reorganization (as subsequently amended on July 15, 2014, the "Merger Agreement") providing for the business combination of RFMD and TriQuint ("Business Combination") under a new holding company named Qorvo, Inc. (formerly named Rocky Holding, Inc.) ("Qorvo" and referred to herein as the "Company" as of and following January 1, 2015). The stockholders of both RFMD and TriQuint approved the Merger Agreement at each company's special meeting of stockholders on September 5, 2014. During the third quarter of fiscal 2015, all necessary regulatory approvals were received to complete the Business Combination. The Business Combination closed on January 1, 2015 (fourth quarter of fiscal 2015). For financial reporting and accounting purposes, RFMD was the acquirer of TriQuint. The results presented in the Consolidated Financial Statements and Notes to the Consolidated Financial Statements reflect those of RFMD prior to the completion of the Business Combination on January 1, 2015 and those of Qorvo subsequent to the completion of the Business Combination.</w:t>
      </w:r>
    </w:p>
    <w:p>
      <w:pPr>
        <w:spacing w:after="0" w:line="18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is a leading provider of technologies and radio frequency (“RF”) solutions for mobile, infrastructure and defense and aerospace applications. The Company is a preferred supplier to the world’s leading companies that serve the mobile device, networks infrastructure and defense and aerospace markets. The Company’s design and manufacturing expertise encompasses many semiconductor process technologies, which it sources both internally and through external suppliers. The Company operates worldwide with its design, sales and manufacturing facilities located throughout Asia, Europe and North America. The Company’s primary manufacturing facilities are located in North Carolina, Oregon, Texas and Florida and its primary assembly and test facilities are located in China, Costa Rica and Texas.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accounts and transactions have been eliminated in consolidation.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results of operations, assets and liabilities associated with the Business Combination have been included in the Company's financial statements from the acquisition date of January 1, 2015 (see Note 5).</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 the third quarter of fiscal 2016, the Company adopted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entities to present deferred tax assets and deferred tax liabilities as non-current in a classified balance sheet. Prior periods presented in the Consolidated Balance Sheet were not retrospectively adjusted.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Periods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uses a 52- or 53-week fiscal year ending on the Saturday closest to March 31 of each year. The most recent three fiscal years ended on April 2, 2016, March 28, 2015, and March 29, 2014. Fiscal year 2016 was a 53-week year and fiscal years 2015 and 2014 were 52-week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U.S. requires management to make estimates and assumptions that affect the amounts reported in the consolidated financial statements and accompanying notes. The actual results that the Company experiences may differ materially from its estimates. The Company makes estimates for the returns reserve, rebates, allowance for doubtful accounts, inventory valuation including reserves, warranty reserves, income tax valuation, current and deferred income taxes, uncertain tax positions, non-marketable equity investments, other-than-temporary impairments of investments, goodwill, long-lived assets and other financial statement amounts on a regular basis and makes adjustments based on historical experiences and expected future conditions. Accounting estimates require difficult and subjective judgments and actual results may differ from the Company’s estimates.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and cash equivalents consist of demand deposit accounts, money market funds, and other temporary, highly-liquid investments with original maturities of three months or less when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Investments available-for-sale at April 2, 2016 consisted of U.S. government/agency securities, corporate debt, auction rate securities (ARS), and money market funds. Investments available-for-sale at March 28, 2015 consisted of U.S. government/agency securities, corporate debt, marketable equity securities, ARS, and money market funds. Available-for-sale investments with an original maturity date greater than approximately three months and less than one year are classified as current investments. Available-for-sale investments with an original maturity date exceeding one year are classified as long-term.</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Available-for-sale securities are carried at fair value with the unrealized gains and losses, net of tax, reported in “Other comprehensive (loss) income.” The cost of securities sold is based on the specific identification method and any realized gain or loss is included in “Other income (expense).” The cost of available-for-sale securities is adjusted for premiums and discounts, with the amortization or accretion of such amounts included as a portion of interest.</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assesses individual investments for impairment quarterly. Investments are impaired when the fair value is less than the amortized cost. If an investment is impaired, the Company evaluates whether the impairment is other-than-temporary. A debt investment impairment is considered other-than-temporary if (i) the Company intends to sell the security, (ii) it is more likely than not that the Company will be required to sell the security before recovery of the entire amortized cost basis, or (iii) the Company does not expect to recover the entire amortized cost basis of the security (a credit loss). Other-than-temporary declines in the Company's debt securities are recognized as a loss in the statement of operations if due to credit loss; all other losses on debt securities are recorded in "Other comprehensive (loss) income." The previous amortized cost basis less the other-than-temporary impairment becomes the new cost basis and is not adjusted for subsequent recoveries in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Inventories are stated at the lower of cost or market based on standard costs which approximates actual average costs. The Company’s business is subject to the risk of technological and design changes. The Company evaluates inventory levels quarterly against sales forecasts on a product family basis to evaluate its overall inventory risk. Reserves are adjusted to reflect inventory values in excess of forecasted sales which include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 Abnormal production levels are charged to the income statement in the period incurred rather than as a portion of inventory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generally sells products with a limited warranty on product quality. The Company accrues for known warranty issues if a loss is probable and can be reasonably estimated, and accrues for estimated incurred but unidentified issues based on historical activity. The accrual and the related expense for known product warranty issues were not significant during the periods presented. Due to product testing and the short time typically between product shipment and the detection and correction of product failures and the historical rate of losses, the accrual and related expense for estimated incurred but unidentified issues were not significant during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computed using the straight-line method over the estimated useful lives of the assets, ranging from one year to thirty-nine years. The Company’s assets acquired under capital leases and leasehold improvements are amortized over the lesser of the asset life or lease term (which is reasonably assured) and included in depreciation.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30"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performs a review if facts and circumstances indicate that the carrying amount of assets may not be recoverable or that the useful life is shorter than had originally been estimated. The Company assesses the recoverability of the assets held for use by comparing the projected undiscounted net cash flows associated with the related asset or group of assets over their remaining estimated useful lives against their respective carrying amounts. Impairment, if any, is based on the excess of the carrying amount over the fair value of those assets. If the Company determines that the useful lives are shorter than the Company had originally estimated, the net book value of the assets is depreciated over the newly determined remaining useful lives. The Company identifies property and equipment as “held for sale” based on the current expectation that, more likely than not, an asset or asset group will be sold or otherwise disposed. The held for sale assets cease depreciation once the assets are classified to the held for sale category at the lesser of their carrying value or their fair market value less costs to sell.</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capitalizes the portion of the interest expense related to certain assets that are not ready for their intended use and this amount is depreciated over the estimated useful lives of the qualified assets. The Company capitalized approximately $5.2 million of interest expense in fiscal 2016. The Company additionally records capital-related government grants earned as a reduction to property and equipment and depreciates such grants over the estimated useful lives of the associated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Receivables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records miscellaneous non-product receivables that are collectible within 12 months in “Other receivables,” such as value-added tax receivables ($37.3 million as of April 2, 2016 and $15.2 million as of March 28, 2015, which are reported on a net basis), precious metal reclaims submitted for payment, interest receivables and other miscellaneous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Goodwill is recorded when the purchase price paid for a business exceeds the estimated fair value of the net identified tangible and intangible assets acquired. Intangibles are recorded when such assets are acquired by purchase or license. The value of the Company's intangibles, including goodwill, could be impacted by future adverse changes such as: (i) any future declines in the Company's operating results; (ii) a decline in the value of technology company stocks, including the value of the Company's common stock; (iii) a prolonged or more significant slowdown in the worldwide economy or the semiconductor industry; or (iv) failure to meet the performance projections included in the Company's forecasts of future operating results.</w:t>
      </w:r>
    </w:p>
    <w:p>
      <w:pPr>
        <w:spacing w:after="0" w:line="15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Company accounts for goodwill and indefinite-lived intangible assets in accordance with the Financial Accounting Standards Board's ("FASB") guidance, which requires annual testing for impairment or whenever events or circumstances make it more likely than not that an impairment may have occurred. The Company performs its annual impairment tests on the first day of the fourth quarter in each fiscal year. Indefinite-lived intangible assets consists of in-process research and development ("IPRD").</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the option to perform a qualitative assessment (commonly referred to as "step zero") to determine whether further quantitative analysis for impairment of goodwill or indefinite-lived intangible assets is necessary. In performing step zero for its impairment test, the Company is required to make assumptions and judgments including but not limited to, the following: the evaluation of macroeconomic conditions as related to our business; industry and market trends; and the overall future financial performance of our reporting units and future opportunities in the markets in which they operate. The Company also considers recent fair value calculations of its indefinite-lived 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the Company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indefinite-lived intangible assets, the quantitative analysis compares the carrying value of the asset to its fair value and an impairment charge is recognized for the amount its carrying value exceeds its fair value. 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the Company's business strategy or its internal forecasts. Although the Company believes the assumptions, judgments and estimates it has made have been reasonable and appropriate, different assumptions, judgments and estimates could materially affect its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is allocated to the Company's reporting units based on the expected benefit from the synergies of the business combinations generating the underlying goodwill. As of April 2, 2016, the Company's goodwill balance of $2,135.7 million is allocated between its Mobile Products (MP) and Infrastructure and Defense Products (IDP) reporting units. For fiscal 2016, although there were no indicators of impairment, the Company opted to bypass the qualitative assessment and proceeded to perform fair value assessments of its reporting units (the first step of the quantitative impairment analysis) on the first day of the fourth quarter in fiscal 2016 as the fair value of the reporting units have changed (due to the Business Combination) since the last time the Company performed a quantitative analysis.</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has performed these quantitative assessments, consistent with its historical approach, using both the income and market approaches to estimate the fair value of its reporting units. The income approach involves discounting future estimated cash flows. The sum of the reporting unit cash flow projections was compared to the Company's market capitalization in a discounted cash flow framework to calculate an overall implied internal rate of return (or discount rate) for the Company. The Company's market capitalization was adjusted to a control basis assuming a reasonable control premium, which resulted in an implied discount rate. This implied discount rate serves as a baseline for estimating the specific discount rate for each reporting unit.</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discount rate used is the value-weighted average of the Company's estimated cost of equity and debt (“cost of capital”) derived using both known and estimated customary market metrics. The Company's weighted average cost of capital is adjusted for each reporting unit to reflect a risk factor, if necessary, for each reporting unit. The Company performs sensitivity tests with respect to growth rates and discount rates used in the income approach. The Company believes the income approach is appropriate because it provides a fair value estimate based upon the respective reporting unit’s expected long-term operations and cash flow performance.</w:t>
      </w:r>
    </w:p>
    <w:p>
      <w:pPr>
        <w:spacing w:after="0" w:line="18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Company considered historical rates and current market conditions when determining the discount and growth rates used in its analysis. For fiscal 2016, the material assumptions used for the income approach were eight years of projected net cash flows and a long-term growth rate of 3% for both the MP and IDP reporting units. A discount rate of 15% and 16% was used for the MP and IDP reporting units, respectively.</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applying the market approach, valuation multiples are derived from historical and projected operating data of selected guideline companies, which are evaluated and adjusted, if necessary, based on the strengths and weaknesses of the reporting unit relative to the selected guideline companies. The valuation multiples are then applied to the appropriate historical and/or projected operating data of the reporting unit to arrive at an indication of fair value. The Company believes the market approach is appropriate because it provides a fair value using multiples from companies with operations and economic characteristics similar to its reporting units. The Company weighted the results of the income approach and the results of the market approach at 50% each and for the MP and IDP reporting units, concluded that the fair value of the reporting units was determined to be substantially in excess of the carrying value, and as such, no further analysis was warranted.</w:t>
      </w:r>
    </w:p>
    <w:p>
      <w:pPr>
        <w:spacing w:after="0" w:line="189"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Under the income approach described above, the following indicates the sensitivity of key assumptions utilized in the assessment. A one percentage point decrease in the discount rate would have increased the fair value of the MP and IDP reporting units by approximately $660.0 million and $140.0 million, respectively, while a one percentage point increase in the discount rate would have decreased the fair value of the MP and IDP reporting units 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30"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approximately $560.0 million and $110.0 million, respectively. A one percentage point decrease in the long-term growth rate would have decreased the fair value of the MP and IDP reporting units by approximately $290.0 million and $50.0 million, respectively, while a one percentage point increase in the long-term growth rate would have increased the fair value of the MP and IDP reporting units by approximately $340.0 million and $70.0 million, respectively.</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years 2015 and 2014, the Company completed its annual qualitative impairment assessments of goodwill which included but were not limited to the evaluation of macroeconomic conditions as related to its business; industry and market trends; and the overall future financial performance of its reporting units and future opportunities in the markets in which they operate. For both fiscal years 2015 and 2014, based on these assessments, the Company concluded that goodwill was not impaired.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resume performing qualitative assessments in future fiscal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Indefinite Lives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fiscal 2015, as a result of the Business Combination, the Company recorded IPRD of $470.0 million. IPRD was recorded at fair value as of the date of acquisition as an indefinite-lived intangible asset until the completion or abandonment of the associated R&amp;D efforts or impairment. The fair value of the acquired IPRD was determined based on an income approach using the "excess earnings method," which estimated the value of the intangible assets by discounting the future projected earnings of the asset to present value as of the valuation date. Upon completion of development, acquired IPRD assets are transferred to finite-lived intangible assets and amortized over their useful lives. During fiscal 2016, the Company completed and transferred into developed technology approximately $203.0 million of IPRD. The Company performed a qualitative assessment of the remaining IPRD during fiscal 2016 and concluded that IPRD was not impaired.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information regarding an impairment of assets recorded in the fourth quarter of fiscal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Intangible assets are recorded when such assets are acquired by purchase or license. Finite-lived intangible assets consist primarily of technology licenses, customer relationships, developed technology, a wafer supply agreement, trade names and backlog resulting from business combinations and are subject to amortization.</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Technology licenses are recorded at cost and are amortized on a straight-line basis over the lesser of the estimated useful life of the technology or the term of the license agreement, ranging from approximately five to eight years.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2013 and 2015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fair value of developed technology acquired during fiscal years 2013 and 2015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four to six years.</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the wafer supply agreement was determined using the incremental income method, which is a discounted cash flow method within the income approach. Under this method, the fair value was estimated by discounting to present value the additional savings from expense reductions in operations at a discount rate to reflect the risk inherent in the wafer supply agreement as well as any tax benefits. The wafer supply agreement was amortized on a units of use activity method over its useful life of approximately four years and was fully amortized as of April 2, 2016.</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30" w:right="27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fair value of trade names acquired in fiscal 2015 was determined based on an income approach using the "relief from royalty method," in which the value of the asset is determined by discounting the future projected cash flows generated from the trade name's estimated royalties. Trade names are amortized on a straight-line basis over the estimated useful life of three years.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backlog acquired in fiscal 2015 was determined based on an income approach using the "excess earnings method" and was fully amortized as of April 2, 2016.</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regularly reviews identified intangible assets to determine if facts and circumstances indicate that the useful life is shorter than it originally estimated or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net revenue is generated principally from sales of semiconductor products. The Company recognizes revenue from product sales when the fundamental criteria are met, such as the time at which the title and risk and rewards of product ownership are transferred to the customer, price and terms are fixed or determinable, no significant vendor obligation exists and collection of the resulting receivable is reasonably assured.</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Sales of products are generally made through either the Company's sales force, manufacturers' representatives or through a distribution network. Revenue from the majority of the Company’s products is recognized upon shipment of the product to the customer from a Company-owned or third-party location. Some revenue is recognized upon receipt of the shipment by the customer. The Company has limited rebate programs offering price protection to certain distributors. These rebates represent less than 3% of net revenue and can be reasonably estimated based on specific criteria included in the rebate agreements and other known factors at the time. The Company reduces revenue and records reserves for product returns and allowances for price protection and stock rotation based on historical experience or specific identification depending on the contractual terms of the arrangement.</w:t>
      </w:r>
    </w:p>
    <w:p>
      <w:pPr>
        <w:spacing w:after="0" w:line="16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also recognizes a portion of its net revenue through other agreements such as non-recurring engineering fees, contracts for R&amp;D work, royalty income, intellectual property (IP) revenue, and service revenue. These agreements are collectively less than 1% of consolidated revenue on an annual basis. Revenue from these agreements is recognized when the service is completed or upon certain milestones, as provided for in the agreements.</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from certain contracts is recognized on the percentage of completion method based on the costs incurred to date and the total contract amount, plus the contractual fee. If these contracts experience cost overruns, the percentage of completion method is used to determine revenue recognition. Revenue from fixed price contracts is recognized when the required deliverable is satisfied.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Royalty income is recognized based on a percentage of sales of the relevant product reported by licensees during the period.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additionally licenses or sells its rights to use portions of its IP portfolio, which includes certain patent rights useful in the manufacture and sales of certain products. IP revenue recognition is dependent on the terms of each agreement. The Company will recognize IP revenue (i) upon delivery of the IP and (ii) if the Company has no substantive future obligation to perform under the arrangement. The Company will defer recognition of IP revenue where future performance obligations are required to earn the revenue or the revenue is not guaranteed. Revenue from services is recognized during the period that the service is performed.</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Accounts receivable are recorded for all revenue items listed above and do not bear interest. The Company evaluates the collectability of accounts receivable based on a combination of factors. In cases where the Company is aware of circumstances that may impair a specific customer’s ability to meet its financial obligations subsequent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30"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original sale, the Company will record an allowance against amounts due, and thereby reduce the receivable to the amount the Company reasonably believes will be collected. For all other customers, the Company recognizes allowances for doubtful accounts based on the length of time the receivables are past due, industry and geographic concentrations, the current business environment and the Company’s historical experience.</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terms and conditions do not give its customers a right of return associated with the original sale of its products. However, the Company will authorize sales returns under certain circumstances, which include perceived quality problems, courtesy returns and like-kind exchanges. The Company evaluates its estimate of returns by analyzing all types of returns and the timing of such returns in relation to the original sale. Reserves are adjusted to reflect changes in the estimated returns versus the original sale of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amounts billed to a customer in a sale transaction related to shipping and handling as revenue. The costs incurred by the Company for shipping and handling are classified as cost of goods sold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charges all R&amp;D costs to expense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expenses advertising costs as incurred. The Company recognized advertising expense of $0.2 million, $0.5 million, and $0.1 million for fiscal years 2016,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Precious Metals Reclaim</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uses historical experience to estimate the amount of reclaim on precious metals used in manufacturing at the end of each period and state the reclaim value at the lower of average cost or market. The estimated value to be received from precious metal reclaim is included in "Other current assets" and reclaims submitted for payment are included in "Other receivables"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are measured using the enacted statutory tax rates in effect for the years in which the differences are expected to reverse. A valuation allowance is provided against deferred tax assets to the extent the Company determines it is more likely than not (a likelihood of more than 50 percent) that some portion or all of its deferred tax assets will not be realized.</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 minimum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the Company’s policy to invest the earnings of foreign subsidiaries indefinitely outside the U.S. Accordingly, the Company does not record a deferred tax liability for U.S. income taxes on unremitted foreign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Under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30" w:right="25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April 2, 2016, total remaining unearned compensation cost related to nonvested restricted stock units and options was $78.9 million, which will be amortized over the weighted-average remaining service period of approximately 1.2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financial statements of foreign subsidiaries have been translated into U.S. dollars in accordance with FASB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Revenues and expenses are translated using the average exchange rates throughout the year. Translation adjustments are shown separately as a component of “Accumulated other comprehensive loss” within “Stockholders’ equity” in the Consolidated Balance Sheets. Foreign currency transaction gains or losses (transactions denominated in a currency other than the functional currency) are reported in “Other income (expense)” in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("ASU") 2016-09, </w:t>
      </w:r>
      <w:r>
        <w:rPr>
          <w:rFonts w:ascii="Arial" w:cs="Arial" w:eastAsia="Arial" w:hAnsi="Arial"/>
          <w:sz w:val="18"/>
          <w:szCs w:val="18"/>
          <w:i w:val="1"/>
          <w:iCs w:val="1"/>
          <w:color w:val="auto"/>
        </w:rPr>
        <w:t>"Compensation - 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The new guidance will simplify certain aspects of accounting for share-based payment transactions,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consequences, forfeitures, classification of awards on the balance sheet and presentation on the statement of cash flows. The new standard will become effective for the Company beginning in the first quarter of fiscal 2018. The Company is currently evaluating the effects this new guidance will have on its consolidated financial statements.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standard will revise the current guidance for lessees, lessors and sale-leaseback transactions. Under the new guidance, substantially all lessees will recognize a right-of-use asset and a lease liability for all of their leases with terms greater than 12 months even if the lease is an operating lease. Consistent with current GAAP, the recognition, measurement, and presentation of expenses and cash flow arising from a lease by a lessee primarily will depend on its classification as a finance or operating lease. The new guidance becomes effective for the Company in the first quarter of fiscal 2020. The Company is currently evaluating the effects this new guidance will have on its consolidated financial statements.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This new standard will affect the accounting for equity investments, financial liabilities measured under the fair value option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the Company beginning in the first quarter of fiscal 2019. The Company is currently evaluating the effects this new standard will have on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the FASB issued ASU 2015-16, "</w:t>
      </w:r>
      <w:r>
        <w:rPr>
          <w:rFonts w:ascii="Arial" w:cs="Arial" w:eastAsia="Arial" w:hAnsi="Arial"/>
          <w:sz w:val="18"/>
          <w:szCs w:val="18"/>
          <w:i w:val="1"/>
          <w:iCs w:val="1"/>
          <w:color w:val="auto"/>
        </w:rPr>
        <w:t>Business Combinations (Topic 805): Simplifying the</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i w:val="1"/>
          <w:iCs w:val="1"/>
          <w:color w:val="auto"/>
        </w:rPr>
        <w:t xml:space="preserve">Accounting for Measurement-Period Adjustments." </w:t>
      </w:r>
      <w:r>
        <w:rPr>
          <w:rFonts w:ascii="Arial" w:cs="Arial" w:eastAsia="Arial" w:hAnsi="Arial"/>
          <w:sz w:val="16"/>
          <w:szCs w:val="16"/>
          <w:color w:val="auto"/>
        </w:rPr>
        <w:t>This standard requires an acquirer in a business combination to recognize adjustments to provisional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that are identified during the measurement period in the reporting period in which the adjustment amounts are determined. The effect on earnings of changes in depreciation, amortization or other income effects, as a result of the change in provisional amounts, are to be included in the same period’s financial statements, calculated as if the accounting had been completed at the acquisition date. The amendments in this update are effective for us beginning in the first quarter of fiscal 2017 and will be applied prospectively to adjustments to provisional amounts that occur after the effective date of this ASU.</w:t>
      </w:r>
    </w:p>
    <w:p>
      <w:pPr>
        <w:spacing w:after="0" w:line="16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xml:space="preserve"> Entities that measure their inventory other than the last-in, last-out and retail inventory methods will measure their inventory at the lower of cost or net realized value. Net realized value is the estimated selling price in the ordinary course of business less reasonably predictable costs to completion, transportation, or disposal. Currently, inventory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30" w:right="25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is required to be measured at the lower of cost or market where market could be the replacement cost, net realizable value, or net realizable value less an approximated normal profit margin. The Company will adopt the provisions of this standard in the first quarter of fiscal 2018, and is currently evaluating the impact on its consolidated financial statements.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April 2015, the FASB issued ASU 2015-05</w:t>
      </w:r>
      <w:r>
        <w:rPr>
          <w:rFonts w:ascii="Arial" w:cs="Arial" w:eastAsia="Arial" w:hAnsi="Arial"/>
          <w:sz w:val="17"/>
          <w:szCs w:val="17"/>
          <w:i w:val="1"/>
          <w:iCs w:val="1"/>
          <w:color w:val="auto"/>
        </w:rPr>
        <w:t>, "Intangibles - Goodwill and Other - Internal-Use Software (Subtopic 350-40): 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which provides additional guidance to customers about whether a cloud computing arrangement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 Under this guidance, if a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The Company will adopt the provisions of this standard in the first quarter of fiscal 2017, and does not believe it will have a significant impact on its consolidated financial statements.</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The FASB has issued several amendments to the new guidance. In August 2015, they delayed the effective date for adoption by one year. In March 2016, additional guidance was issued that clarifies the principal versus agent considerations within the new revenue standard. In April 2016, additional guidance was issued that clarifies the identification of distinct performance obligations in a contract as well as clarifies the accounting for licenses of intellectual property. In May 2016, additional guidance was issued related to transition, collectibility, non-cash consideration and the presentation of sales and other similar taxes. The new amended guidance will become effective for the Company in the first quarter of fiscal 2019, using one of two retrospective methods of adoption. The Company has not determined which method it will adopt and is evaluating the effects the new guidance will have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which required entities to present deferred tax assets ("DTA") and deferred tax liabilities ("DTL") as non-current in a classified balance sheet. This ASU simplified the current guidance, which required entities to separately present DTAs and DTLs as current and non-current in a classified balance sheet. The Company adopted ASU 2015-17 in the third quarter of fiscal 2016, as it believed the adoption of this standard reduced the complexity of its consolidated financial statements as well as enhanced the usefulness of the related financial information. Prior periods presented in the Consolidated Balance Sheet were not retrospectively adjusted.</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 - Imputation of Interest (Subtopic 835-30): Simplifying the Presentation of Debt Issuance Costs."</w:t>
      </w:r>
      <w:r>
        <w:rPr>
          <w:rFonts w:ascii="Arial" w:cs="Arial" w:eastAsia="Arial" w:hAnsi="Arial"/>
          <w:sz w:val="17"/>
          <w:szCs w:val="17"/>
          <w:color w:val="auto"/>
        </w:rPr>
        <w:t xml:space="preserve"> ASU 2015-03 required debt issuance costs related to a recognized debt liability be presented in the balance sheet as a direct deduction from the related debt liability's carrying value, which is consistent with the presentation of debt discounts. The Company elected to early adopt this guidance in fiscal 2016, and as a result, debt issuance costs are presented as a direct deduction of Long-term debt on the Consolidated Balance Sheet.</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CONCENTRATIONS OF CREDIT RISK</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Revenue from significant customers, those representing 10% or more of total revenue for the respective periods,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20" w:type="dxa"/>
            <w:vAlign w:val="bottom"/>
          </w:tcPr>
          <w:p>
            <w:pPr>
              <w:jc w:val="right"/>
              <w:ind w:right="610"/>
              <w:spacing w:after="0"/>
              <w:rPr>
                <w:sz w:val="20"/>
                <w:szCs w:val="20"/>
                <w:color w:val="auto"/>
              </w:rPr>
            </w:pPr>
            <w:r>
              <w:rPr>
                <w:rFonts w:ascii="Arial" w:cs="Arial" w:eastAsia="Arial" w:hAnsi="Arial"/>
                <w:sz w:val="18"/>
                <w:szCs w:val="18"/>
                <w:b w:val="1"/>
                <w:bCs w:val="1"/>
                <w:color w:val="auto"/>
              </w:rPr>
              <w:t>Fiscal Year</w:t>
            </w:r>
          </w:p>
        </w:tc>
        <w:tc>
          <w:tcPr>
            <w:tcW w:w="1960" w:type="dxa"/>
            <w:vAlign w:val="bottom"/>
          </w:tcPr>
          <w:p>
            <w:pPr>
              <w:spacing w:after="0"/>
              <w:rPr>
                <w:sz w:val="20"/>
                <w:szCs w:val="20"/>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48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23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rPr>
              <w:t>2015</w:t>
            </w:r>
          </w:p>
        </w:tc>
        <w:tc>
          <w:tcPr>
            <w:tcW w:w="19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2014</w:t>
            </w:r>
          </w:p>
        </w:tc>
      </w:tr>
      <w:tr>
        <w:trPr>
          <w:trHeight w:val="237"/>
        </w:trPr>
        <w:tc>
          <w:tcPr>
            <w:tcW w:w="4860" w:type="dxa"/>
            <w:vAlign w:val="bottom"/>
          </w:tcPr>
          <w:p>
            <w:pPr>
              <w:ind w:left="360"/>
              <w:spacing w:after="0"/>
              <w:rPr>
                <w:sz w:val="20"/>
                <w:szCs w:val="20"/>
                <w:color w:val="auto"/>
              </w:rPr>
            </w:pPr>
            <w:r>
              <w:rPr>
                <w:rFonts w:ascii="Arial" w:cs="Arial" w:eastAsia="Arial" w:hAnsi="Arial"/>
                <w:sz w:val="18"/>
                <w:szCs w:val="18"/>
                <w:color w:val="auto"/>
              </w:rPr>
              <w:t>Huawei Technologies Co., Ltd. (Huawei)</w:t>
            </w:r>
          </w:p>
        </w:tc>
        <w:tc>
          <w:tcPr>
            <w:tcW w:w="1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12%</w:t>
            </w:r>
          </w:p>
        </w:tc>
        <w:tc>
          <w:tcPr>
            <w:tcW w:w="232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rPr>
              <w:t>7%</w:t>
            </w:r>
          </w:p>
        </w:tc>
        <w:tc>
          <w:tcPr>
            <w:tcW w:w="196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rPr>
              <w:t>4%</w:t>
            </w:r>
          </w:p>
        </w:tc>
      </w:tr>
      <w:tr>
        <w:trPr>
          <w:trHeight w:val="27"/>
        </w:trPr>
        <w:tc>
          <w:tcPr>
            <w:tcW w:w="4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Samsung Electronics, Co., Ltd. (Samsung)</w:t>
            </w:r>
          </w:p>
        </w:tc>
        <w:tc>
          <w:tcPr>
            <w:tcW w:w="19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7%</w:t>
            </w:r>
          </w:p>
        </w:tc>
        <w:tc>
          <w:tcPr>
            <w:tcW w:w="23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14%</w:t>
            </w:r>
          </w:p>
        </w:tc>
        <w:tc>
          <w:tcPr>
            <w:tcW w:w="19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25%</w:t>
            </w:r>
          </w:p>
        </w:tc>
      </w:tr>
      <w:tr>
        <w:trPr>
          <w:trHeight w:val="27"/>
        </w:trPr>
        <w:tc>
          <w:tcPr>
            <w:tcW w:w="48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the Company sold its products to another end customer through multiple contract manufacturers, which in the aggregate accounted for approximately 37%, 32% and 20% of total revenue in fiscal years 2016, 2015 and 2014, respectively. The majority of the revenue from these customers was from the sale of the Company’s mobile products.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Huawei accounted for approximately 13%, 7% and 5% of the Company's total accounts receivable balance as of April 2, 2016, March 28, 2015 and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March 29, 2014, respectively, and Samsung accounted for approximately 10%, 7% and 25% of the Company's total accounts receivable balance as of April 2, 2016, March 28, 2015 and March 29, 2014, respectively.</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INVESTMENTS AND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April 2, 2016 and March 28,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238125</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3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380" w:type="dxa"/>
            <w:vAlign w:val="bottom"/>
          </w:tcPr>
          <w:p>
            <w:pPr>
              <w:jc w:val="right"/>
              <w:ind w:right="5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April 2, 2016</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government/agency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149,892</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146,779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146,779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March 28, 2015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government/agency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197,507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43,147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48,961</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293,385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6,589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299,540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April 2, 2016 and March 28, 2015. The Company determines the cost of an investment sold based on the specific identification method.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$10.0 million of gross realized gains and insignificant gross realized losses recognized on available-for-sale securities for fiscal 2016. The gross realized gains and losses recognized on available-for-sale securities for fiscal 2015 were insignificant.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Unrealized losses on available-for-sale investments in a continuous loss position for fewer than 12 months as of April 2, 2016 and as of March 28, 2015 were insignificant. Unrealized losses on available-for-sale investments in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continuous loss position for 12 months or greater were $0.4 million as of April 2, 2016. There were no available-for-sale investments in a continuous unrealized loss position for 12 months or greater as of March 28, 2015.</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aggregate amount of available-for-sale securities in an unrealized loss position at April 2, 2016 was $55.6 million with $0.4 million in unrealized losses. The aggregate amount of available-for-sale securities in an unrealized loss position at March 28, 2015 was $112.9 million with $0.4 million in unrealized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cash equivalents and available-for-sale debt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April 2, 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March 28, 2015</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Estimated</w:t>
            </w:r>
          </w:p>
        </w:tc>
        <w:tc>
          <w:tcPr>
            <w:tcW w:w="3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04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289,615</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344,313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343,981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291,791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291,365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4, 2015, Qorvo's wholly-owned subsidiary, TriQuint, invested $25.0 million to acquire shares of Series F Preferred Stock of Cavendish Kinetics Limited, a private limited company incorporated in England and Wales. This investment was accounted for as a cost method investment and classified in "Long-term investments" on the Company's Consolidated Balance Sheet as of April 2, 2016. No impairment was recognized on the Company's cost-method investment during fiscal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measures the fair value of its marketable securities, which are comprised of U.S. government/agency securities, corporate debt, marketable equity securities, auction rate securities (ARS), and money market funds. Marketable securities are reported in "Cash and cash equivalents", "Short-term investments" and "Long-term investments" on the Company’s Consolidated Balance Sheets and are recorded at fair value and the related unrealized gains and losses are included in "Accumulated other comprehensive loss," a component of stockholders’ equity, net of tax.</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30" w:right="2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financial assets measured at fair value on a recurring basis was determined using the following levels of inputs as of April 2,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28, 2015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4"/>
                <w:szCs w:val="14"/>
                <w:color w:val="auto"/>
              </w:rPr>
            </w:pPr>
          </w:p>
        </w:tc>
        <w:tc>
          <w:tcPr>
            <w:tcW w:w="15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5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2, 2016</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Available-for-sale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U.S. government/agency securities</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149,892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149,892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45,510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146,779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146,779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500"/>
              <w:spacing w:after="0"/>
              <w:rPr>
                <w:sz w:val="20"/>
                <w:szCs w:val="20"/>
                <w:color w:val="auto"/>
              </w:rPr>
            </w:pPr>
            <w:r>
              <w:rPr>
                <w:rFonts w:ascii="Arial" w:cs="Arial" w:eastAsia="Arial" w:hAnsi="Arial"/>
                <w:sz w:val="18"/>
                <w:szCs w:val="18"/>
                <w:color w:val="auto"/>
              </w:rPr>
              <w:t>Total available-for-sale securities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343,981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296,671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960"/>
              <w:spacing w:after="0"/>
              <w:rPr>
                <w:sz w:val="20"/>
                <w:szCs w:val="20"/>
                <w:color w:val="auto"/>
              </w:rPr>
            </w:pPr>
            <w:r>
              <w:rPr>
                <w:rFonts w:ascii="Arial" w:cs="Arial" w:eastAsia="Arial" w:hAnsi="Arial"/>
                <w:sz w:val="18"/>
                <w:szCs w:val="18"/>
                <w:b w:val="1"/>
                <w:bCs w:val="1"/>
                <w:color w:val="auto"/>
              </w:rPr>
              <w:t>Total assets measured at fair value: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350,449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303,139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measured at fair value: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28, 2015</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Available for-sale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960"/>
              <w:spacing w:after="0"/>
              <w:rPr>
                <w:sz w:val="20"/>
                <w:szCs w:val="20"/>
                <w:color w:val="auto"/>
              </w:rPr>
            </w:pPr>
            <w:r>
              <w:rPr>
                <w:rFonts w:ascii="Arial" w:cs="Arial" w:eastAsia="Arial" w:hAnsi="Arial"/>
                <w:sz w:val="18"/>
                <w:szCs w:val="18"/>
                <w:color w:val="auto"/>
              </w:rPr>
              <w:t>U.S. government/agency securities</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197,507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197,507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43"/>
        </w:trPr>
        <w:tc>
          <w:tcPr>
            <w:tcW w:w="5820" w:type="dxa"/>
            <w:vAlign w:val="bottom"/>
          </w:tcPr>
          <w:p>
            <w:pPr>
              <w:ind w:left="96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43,147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43,147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Marketable equity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960"/>
              <w:spacing w:after="0"/>
              <w:rPr>
                <w:sz w:val="20"/>
                <w:szCs w:val="20"/>
                <w:color w:val="auto"/>
              </w:rPr>
            </w:pPr>
            <w:r>
              <w:rPr>
                <w:rFonts w:ascii="Arial" w:cs="Arial" w:eastAsia="Arial" w:hAnsi="Arial"/>
                <w:sz w:val="18"/>
                <w:szCs w:val="18"/>
                <w:color w:val="auto"/>
              </w:rPr>
              <w:t>Money market funds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48,961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48,961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available-for-sale securities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299,540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254,643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44,897</w:t>
            </w:r>
          </w:p>
        </w:tc>
        <w:tc>
          <w:tcPr>
            <w:tcW w:w="0" w:type="dxa"/>
            <w:vAlign w:val="bottom"/>
          </w:tcPr>
          <w:p>
            <w:pPr>
              <w:spacing w:after="0"/>
              <w:rPr>
                <w:sz w:val="1"/>
                <w:szCs w:val="1"/>
                <w:color w:val="auto"/>
              </w:rPr>
            </w:pPr>
          </w:p>
        </w:tc>
      </w:tr>
      <w:tr>
        <w:trPr>
          <w:trHeight w:val="237"/>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assets measured at fair value: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308,154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263,257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44,897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960"/>
              <w:spacing w:after="0"/>
              <w:rPr>
                <w:sz w:val="20"/>
                <w:szCs w:val="20"/>
                <w:color w:val="auto"/>
              </w:rPr>
            </w:pPr>
            <w:r>
              <w:rPr>
                <w:rFonts w:ascii="Arial" w:cs="Arial" w:eastAsia="Arial" w:hAnsi="Arial"/>
                <w:sz w:val="18"/>
                <w:szCs w:val="18"/>
                <w:b w:val="1"/>
                <w:bCs w:val="1"/>
                <w:color w:val="auto"/>
              </w:rPr>
              <w:t>Total liabilities measured at fair value: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firstLine="8"/>
        <w:spacing w:after="0" w:line="255"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right="500" w:firstLine="8"/>
        <w:spacing w:after="0" w:line="246"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Corporate debt includes corporate bonds and commercial paper which are valued using observable market prices for identical securities that are traded in less active markets.</w:t>
      </w:r>
    </w:p>
    <w:p>
      <w:pPr>
        <w:ind w:firstLine="8"/>
        <w:spacing w:after="0" w:line="250"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non-qualified deferred compensation plan provides eligible employees and members of the Board of Directors with the opportunity to defer a specified percentage of their cash compensation. The Company includes the asset deferred by the participants in the “Other current assets” and “Other non-current assets” line items of its Consolidated Balance Sheets and the Company's obligation to deliver the deferred compensation in the "Other current liabilities" and “Other long-term liabilities” line items of its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2016 and March 28, 2015, the Company did not have any Level 3 assets or liabilities.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30" w:right="27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Company's non-financial assets, such as intangible assets and property and equipment, are measured at fair value when there is an indicator of impairment, and recorded at fair value only when an impairment charge is recognized (see Note 6 for an IPRD impairment charge recorded in the fourth quarter of fiscal 2014).</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Consolidated Balance Sheet as of March 28, 2015, includes non-financial assets and liabilities measured at fair value as a result of the Business Combination (see Note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 See Note 7 for the fair value of the Company's long-term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420" w:type="dxa"/>
            <w:vAlign w:val="bottom"/>
          </w:tcPr>
          <w:p>
            <w:pPr>
              <w:ind w:left="80"/>
              <w:spacing w:after="0"/>
              <w:rPr>
                <w:sz w:val="20"/>
                <w:szCs w:val="20"/>
                <w:color w:val="auto"/>
              </w:rPr>
            </w:pPr>
            <w:r>
              <w:rPr>
                <w:rFonts w:ascii="Arial" w:cs="Arial" w:eastAsia="Arial" w:hAnsi="Arial"/>
                <w:sz w:val="18"/>
                <w:szCs w:val="18"/>
                <w:b w:val="1"/>
                <w:bCs w:val="1"/>
                <w:color w:val="auto"/>
              </w:rPr>
              <w:t>INVENTORIES</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The components of inventories, net of reserves, are as follows (in thousands):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89,928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71,863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228,626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137,306</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108,997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137,731</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427,551</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346,900</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7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BUSINESS ACQUISITIONS</w:t>
            </w: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40" w:type="dxa"/>
            <w:vAlign w:val="bottom"/>
            <w:vMerge w:val="continue"/>
          </w:tcPr>
          <w:p>
            <w:pPr>
              <w:spacing w:after="0"/>
              <w:rPr>
                <w:sz w:val="24"/>
                <w:szCs w:val="24"/>
                <w:color w:val="auto"/>
              </w:rPr>
            </w:pPr>
          </w:p>
        </w:tc>
        <w:tc>
          <w:tcPr>
            <w:tcW w:w="7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Business Combination between RFMD and TriQuint</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January 1, 2015, pursuant to the Merger Agreement, RFMD and TriQuint completed a strategic combination of their respective businesses through the “merger of equals” Business Combination.</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a result of the Business Combination, RFMD and TriQuint have combined complementary product portfolios, featuring power amplifiers (PAs), power management integrated circuits (PMICs), antenna control solutions, switch-based products and premium filters, to deliver a comprehensive portfolio of high-performance mobile solutions. It is expected that the Business Combination will continue to strengthen the combined company’s service to the infrastructure and defense/aerospace industries and enable advanced gallium nitride (GaN) solutions for additional markets and applications. It is also expected that customers will benefit from new scale advantages in manufacturing and R&amp;D, as well as an aggressive roadmap of new products and technologies.</w:t>
      </w:r>
    </w:p>
    <w:p>
      <w:pPr>
        <w:spacing w:after="0" w:line="11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parties effected the Business Combination by (i) merging a newly-formed direct subsidiary of Qorvo with and into TriQuint, with TriQuint surviving the merger as a wholly owned direct subsidiary of Qorvo (such merger, the “TriQuint Merger”); and (ii) merging a newly-formed direct subsidiary of Qorvo with and into RFMD, with RFMD surviving the merger as a wholly owned direct subsidiary of Qorvo (the “RFMD Merger”).</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terms of the Merger Agreement, at the effective time of the RFMD Merger (the “RFMD Merger Effective Time”), by virtue of the RFMD Merger and without any action on the part of any stockholder, each share of common stock of RFMD, no par value per share (“RFMD Common Stock”), was converted into the right to receive 0.25 of a share of common stock, par value $0.0001 per share, of Qorvo (the exchange ratio of one share of RFMD Common Stock for 0.25 of a share of Qorvo Common Stock, the “RFMD Conversion Ratio”) plus cash in lieu of fractional shares. The Merger Agreement provided that, at the RFMD Merger Effective Time, all RFMD equity awards as of immediately prior to the RFMD Merger Effective Time were assumed by Qorvo, except that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such equity awards as were exercisable for or may be settled in shares of RFMD Common Stock became exercisable for or may be settled in shares of Qorvo Common Stock based on the RFMD Conversion Ratio.</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Pursuant to the terms of the Merger Agreement, at the effective time of the TriQuint Merger (the “TriQuint Merger Effective Time”), by virtue of the TriQuint Merger and without any action on the part of any stockholder, each share of common stock of TriQuint, $0.001 par value per share (“TriQuint Common Stock”), was converted into the right to receive 0.4187 of a share of Qorvo Common Stock (the exchange ratio of one share of TriQuint Common Stock for</w:t>
      </w:r>
    </w:p>
    <w:p>
      <w:pPr>
        <w:ind w:right="120"/>
        <w:spacing w:after="0" w:line="295" w:lineRule="auto"/>
        <w:rPr>
          <w:sz w:val="20"/>
          <w:szCs w:val="20"/>
          <w:color w:val="auto"/>
        </w:rPr>
      </w:pPr>
      <w:r>
        <w:rPr>
          <w:rFonts w:ascii="Arial" w:cs="Arial" w:eastAsia="Arial" w:hAnsi="Arial"/>
          <w:sz w:val="16"/>
          <w:szCs w:val="16"/>
          <w:color w:val="auto"/>
        </w:rPr>
        <w:t>0.4187 of a share of Qorvo Common Stock, the “TriQuint Conversion Ratio” and, together with the RFMD Conversion Ratio, the “Conversion Ratios”) plus cash in lieu of fractional shares. The Merger Agreement provided that, at the TriQuint Merger Effective Time, all TriQuint equity awards as of immediately prior to the TriQuint Merger Effective Time were assumed by Qorvo, except that such equity awards as were exercisable for or may be settled in shares of TriQuint Common Stock became exercisable for or may be settled in shares of Qorvo Common Stock based on the TriQuint Conversion Ratio.</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RFMD Merger Effective Time occurred immediately after the TriQuint Merger Effective Time. At the closing of the transaction, the effect of the application of the Conversion Ratios constituted a one-for-four reverse stock split of the issued and outstanding shares of RFMD Common Stock and TriQuint Common Stock. All share and per share information contained in the accompanying Consolidated Financial Statements and Notes to the Consolidated Financial Statements have been retroactively adjusted to reflect the reverse stock split for all periods presented.</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RFMD Common Stock and the TriQuint Common Stock were voluntarily delisted from the NASDAQ Stock Market in connection with the Business Combination. The Qorvo Common Stock is now trading on the NASDAQ Global Select Market under the ticker symbol “QRVO”.</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Based on an evaluation of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RFMD was determined to be the acquirer for accounting purposes. Under FASB ASC Topic 805, RFMD is treated as having acquired TriQuint in an all-stock transaction for an estimated total purchase price of approximately $5,254.4 million. The calculation of the total purchase price was based on the outstanding shares of TriQuint Common Stock as of the acquisition date multiplied by the exchange ratio of 1.6749, and the resulting shares were then adjusted by the one-for-four reverse stock split and multiplied by the Qorvo split-adjusted share price of $66.36 on the date of acquisition. The purchase price also includes the fair value of replacement equity awards attributable to service prior to the closing of the Business Combination, which is estimated based on the ratio of the service period rendered as of the acquisition date to the total service period.</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The measurement period (up to one year from the acquisition date pursuant to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was concluded during the third quarter of fiscal 2016</w:t>
      </w:r>
      <w:r>
        <w:rPr>
          <w:rFonts w:ascii="Arial" w:cs="Arial" w:eastAsia="Arial" w:hAnsi="Arial"/>
          <w:sz w:val="17"/>
          <w:szCs w:val="17"/>
          <w:i w:val="1"/>
          <w:iCs w:val="1"/>
          <w:color w:val="auto"/>
        </w:rPr>
        <w:t>.</w:t>
      </w:r>
      <w:r>
        <w:rPr>
          <w:rFonts w:ascii="Arial" w:cs="Arial" w:eastAsia="Arial" w:hAnsi="Arial"/>
          <w:sz w:val="17"/>
          <w:szCs w:val="17"/>
          <w:color w:val="auto"/>
        </w:rPr>
        <w:t xml:space="preserve"> The initial $2,036.7 million allocated to goodwill represents the excess of the purchase price over the fair value of assets acquired and liabilities assumed, which amount was allocated to the Company's MP operating segment ($1,745.5 million) and IDP operating segment ($291.2 million). During the measurement period, $3.8 million and $1.1 million of goodwill was reduced and allocated to property and equipment and deferred taxes, respectively. Goodwill recognized from the Business Combination is not deductible for income tax purposes.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TriQuint's results of operations, which include revenue of $259.5 million and a net loss of $132.5 million, are included in the Company’s fiscal 2015 Consolidated Statements of Operations for the period of January 1, 2015 through March 28, 2015. The net loss includes adjustments for amortization expense of the acquired intangible assets, inventory step-up, stock-based compensation related to the Business Combination and restructuring expenses.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fiscal 2016, the Company incurred approximately $26.5 million of integration costs and approximately $10.1 million of restructuring costs (including stock-based compensation) associated with the Business Combination. During fiscal 2015, the Company incurred acquisition costs of $12.2 million, integration costs of $31.3 million, and restructuring costs of $10.9 million associated with the Business Combination. During fiscal 2014, the Company incurred acquisition-related costs of $5.1 million associated with the Business Combination.</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acquisition, integration and restructuring costs are being expensed as incurred and are presented in the Consolidated Statements of Operations as "Other operating expense." See Note 10 for further information on the restructuring.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unaudited pro forma consolidated financial information for fiscal years 2015 and 2014 assumes that the Business Combination was completed as of March 31, 2013 (in thousands, except per share data):</w:t>
      </w:r>
    </w:p>
    <w:p>
      <w:pPr>
        <w:spacing w:after="0" w:line="112"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2,556,045</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2,037,466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30,447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(475,219)</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Basic net income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0.21</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5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Pro forma revenue includes adjustments for the purchases by RFMD of various products from TriQuint. These results are not intended to be a projection of future results and do not reflect the actual revenue that might have been achieved by Qorvo. Pro forma net income (loss) includes adjustments for amortization expense of acquired intangible assets, stock-based compensation, acquisition-related costs, and an adjustment for income taxes.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pro forma results have been prepared for comparative purposes only and do not purport to be indicative of the revenue or operating results that would have been achieved had the acquisition actually taken place as of March 31, 2013. In addition, these results are not intended to be a projection of future results and do not reflect synergies that might be achieved from the combined operations.</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fiscal years 2015 and 2016,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29, 2014</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103,901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Goodwill resulting from Business Combination (</w:t>
            </w:r>
            <w:r>
              <w:rPr>
                <w:rFonts w:ascii="Arial" w:cs="Arial" w:eastAsia="Arial" w:hAnsi="Arial"/>
                <w:sz w:val="18"/>
                <w:szCs w:val="18"/>
                <w:i w:val="1"/>
                <w:iCs w:val="1"/>
                <w:color w:val="auto"/>
              </w:rPr>
              <w:t>Note 5)</w:t>
            </w:r>
          </w:p>
        </w:tc>
        <w:tc>
          <w:tcPr>
            <w:tcW w:w="1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2,036,685</w:t>
            </w:r>
          </w:p>
        </w:tc>
      </w:tr>
      <w:tr>
        <w:trPr>
          <w:trHeight w:val="27"/>
        </w:trPr>
        <w:tc>
          <w:tcPr>
            <w:tcW w:w="8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28, 2015</w:t>
            </w:r>
          </w:p>
        </w:tc>
        <w:tc>
          <w:tcPr>
            <w:tcW w:w="124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2,140,586</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Measurement period adjustments from Business Combination (</w:t>
            </w:r>
            <w:r>
              <w:rPr>
                <w:rFonts w:ascii="Arial" w:cs="Arial" w:eastAsia="Arial" w:hAnsi="Arial"/>
                <w:sz w:val="18"/>
                <w:szCs w:val="18"/>
                <w:i w:val="1"/>
                <w:iCs w:val="1"/>
                <w:color w:val="auto"/>
              </w:rPr>
              <w:t>Note 5)</w:t>
            </w:r>
          </w:p>
        </w:tc>
        <w:tc>
          <w:tcPr>
            <w:tcW w:w="1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(4,889)</w:t>
            </w:r>
          </w:p>
        </w:tc>
      </w:tr>
      <w:tr>
        <w:trPr>
          <w:trHeight w:val="27"/>
        </w:trPr>
        <w:tc>
          <w:tcPr>
            <w:tcW w:w="8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as of April 2, 2016 </w:t>
            </w:r>
            <w:r>
              <w:rPr>
                <w:rFonts w:ascii="Arial" w:cs="Arial" w:eastAsia="Arial" w:hAnsi="Arial"/>
                <w:sz w:val="14"/>
                <w:szCs w:val="14"/>
                <w:color w:val="auto"/>
              </w:rPr>
              <w:t>(1)</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2,135,697</w:t>
            </w:r>
          </w:p>
        </w:tc>
      </w:tr>
      <w:tr>
        <w:trPr>
          <w:trHeight w:val="20"/>
        </w:trPr>
        <w:tc>
          <w:tcPr>
            <w:tcW w:w="8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80" w:right="300" w:hanging="72"/>
        <w:spacing w:after="0" w:line="275" w:lineRule="auto"/>
        <w:tabs>
          <w:tab w:leader="none" w:pos="2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April 2, 2016, the Company’s goodwill balance of $2,135.7 million was comprised of gross goodwill of $2,757.3 million less accumulated impairment losses and write-offs of $621.6 million.</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Merger Agreement, RFMD and TriQuint completed the Business Combination in fiscal 2015, which resulted in initial goodwill of 2,036.7 million (see Note 5).</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Goodwill is allocated to the reporting units that are expected to benefit from the synergies of the business combinations generating the underlying goodwill. As of April 2, 2016, $1,751.5 million and $384.2 million of the Company’s goodwill balance was allocated to its MP reporting unit and IDP reporting unit,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intangibles assets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5"/>
          </w:tcPr>
          <w:p>
            <w:pPr>
              <w:ind w:left="920"/>
              <w:spacing w:after="0"/>
              <w:rPr>
                <w:sz w:val="20"/>
                <w:szCs w:val="20"/>
                <w:color w:val="auto"/>
              </w:rPr>
            </w:pPr>
            <w:r>
              <w:rPr>
                <w:rFonts w:ascii="Arial" w:cs="Arial" w:eastAsia="Arial" w:hAnsi="Arial"/>
                <w:sz w:val="18"/>
                <w:szCs w:val="18"/>
                <w:b w:val="1"/>
                <w:bCs w:val="1"/>
                <w:color w:val="auto"/>
              </w:rPr>
              <w:t>April 2, 2016</w:t>
            </w:r>
          </w:p>
        </w:tc>
        <w:tc>
          <w:tcPr>
            <w:tcW w:w="280" w:type="dxa"/>
            <w:vAlign w:val="bottom"/>
          </w:tcPr>
          <w:p>
            <w:pPr>
              <w:spacing w:after="0"/>
              <w:rPr>
                <w:sz w:val="20"/>
                <w:szCs w:val="20"/>
                <w:color w:val="auto"/>
              </w:rPr>
            </w:pPr>
          </w:p>
        </w:tc>
        <w:tc>
          <w:tcPr>
            <w:tcW w:w="308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March 28, 2015</w:t>
            </w:r>
          </w:p>
        </w:tc>
      </w:tr>
      <w:tr>
        <w:trPr>
          <w:trHeight w:val="27"/>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IPRD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267,000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470,000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N/A</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10,701</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1,267,103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377,357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1,267,103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99,471</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915,163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277,736</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712,163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124,028</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Wafer supply agreement</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20,443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20,443</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20,443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16,059</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12,083</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16,250</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2,576,155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763,640</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2,576,155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268,926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result of the Business Combination, intangible assets increased by $2,394.0 million which resulted in the recognition of $482.3 million of amortization expense in fiscal 2016 (of which $199.3 million was recorded in "Cost of goods sold" and $283.0 million was recorded in "Marketing and selling") and $120.3 million of amortization expense in fiscal 2015 (of which $49.6 million was recorded in "Cost of goods sold" and $70.7 million was recorded in "Marketing and selling").</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IPRD acquired in the Business Combination of $470.0 million relates to the MP operating segment ($350.0 million) and the IDP operating segment ($120.0 million), and encompasses a broad technology portfolio of product innovations in RF applications for MP and IDP products. These technologies include a variety of semiconductor processes in GaAs and GaN for power and switching applications and SAW and BAW structures for filter applications. Included in IPRD are continuous improvements in the process for design and manufacturing as well as innovation in fundamental research areas such as materials, simulation and modeling, circuit design, device packaging and test.</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fiscal 2016, $203.0 million of IPRD assets were completed, transferred to finite-lived intangible assets, and are being amortized over their useful lives of 4 to 6 years. As of April 2, 2016, IPRD for the MP operating segment totaled approximately $257.0 million and are between 70% and 85% complete with estimated completion dates through the end of fiscal 2017. As of April 2, 2016, IPRD associated with the IPD operating segment totaled approximately $10.0 million and is approximately 60% complete with estimated completion dates through the end of fiscal 2017. Remaining costs to complete IPRD for the MP and IDP operating segments are approximately $5.0 million to $10.0 million and $10.0 million to $15.0 million, respectively.</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remaining IPRD asset is classified as an indefinite lived intangible asset that is not currently subject to amortization but is reviewed for impairment annually or whenever events or changes in circumstances indicate that the carrying value of such asset may not be recoverable. The IPRD asset will be subject to amortization upon completion of its respective research and at the start of commercialization. The fair value assigned to the IPRD asset was determined using the income approach based on estimates and judgments regarding risks inherent in the development process, including the likelihood of achieving technological success and market acceptance. If the IPRD is abandoned, the acquired technology attributable to the efforts will be expensed in the Consolidated Statements of Operations.</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fourth quarter of fiscal 2014, the Company initiated a restructuring effort to reduce operating expenses (see Note 10 for further information on the restructuring). As part of this restructuring, the Company discontinued engineering efforts on an IPRD project acquired for MP as part of the acquisition of Amalfi and an impairment charge of $11.3 million was recorded in "Other operating expense."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Total intangible assets amortization expense was $494.6 million, $142.7 million and $28.6 million in fiscal years 2016, 2015 and 2014, respectively.</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30" w:right="27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provides the Company's estimated amortization expense for intangible assets based on current amortization periods for the periods indicated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194"/>
        </w:trPr>
        <w:tc>
          <w:tcPr>
            <w:tcW w:w="9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Fiscal Year</w:t>
            </w:r>
          </w:p>
        </w:tc>
        <w:tc>
          <w:tcPr>
            <w:tcW w:w="180" w:type="dxa"/>
            <w:vAlign w:val="bottom"/>
          </w:tcPr>
          <w:p>
            <w:pPr>
              <w:spacing w:after="0"/>
              <w:rPr>
                <w:sz w:val="16"/>
                <w:szCs w:val="16"/>
                <w:color w:val="auto"/>
              </w:rPr>
            </w:pPr>
          </w:p>
        </w:tc>
        <w:tc>
          <w:tcPr>
            <w:tcW w:w="136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6"/>
              </w:rPr>
              <w:t>Expense</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84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493,050</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529,050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442,790</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196,234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133,471</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at April 2, 2016 is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40" w:type="dxa"/>
            <w:vAlign w:val="bottom"/>
            <w:gridSpan w:val="2"/>
          </w:tcPr>
          <w:p>
            <w:pPr>
              <w:ind w:left="500"/>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6.75% Senior Notes due 2023</w:t>
            </w:r>
          </w:p>
        </w:tc>
        <w:tc>
          <w:tcPr>
            <w:tcW w:w="6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7.00% Senior Notes due 2025</w:t>
            </w:r>
          </w:p>
        </w:tc>
        <w:tc>
          <w:tcPr>
            <w:tcW w:w="600" w:type="dxa"/>
            <w:vAlign w:val="bottom"/>
          </w:tcPr>
          <w:p>
            <w:pPr>
              <w:spacing w:after="0"/>
              <w:rPr>
                <w:sz w:val="21"/>
                <w:szCs w:val="21"/>
                <w:color w:val="auto"/>
              </w:rPr>
            </w:pPr>
          </w:p>
        </w:tc>
        <w:tc>
          <w:tcPr>
            <w:tcW w:w="2420" w:type="dxa"/>
            <w:vAlign w:val="bottom"/>
          </w:tcPr>
          <w:p>
            <w:pPr>
              <w:jc w:val="right"/>
              <w:ind w:right="34"/>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issuance costs</w:t>
            </w:r>
          </w:p>
        </w:tc>
        <w:tc>
          <w:tcPr>
            <w:tcW w:w="60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57"/>
        </w:trPr>
        <w:tc>
          <w:tcPr>
            <w:tcW w:w="80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2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988,130</w:t>
            </w:r>
          </w:p>
        </w:tc>
        <w:tc>
          <w:tcPr>
            <w:tcW w:w="120" w:type="dxa"/>
            <w:vAlign w:val="bottom"/>
          </w:tcPr>
          <w:p>
            <w:pPr>
              <w:spacing w:after="0"/>
              <w:rPr>
                <w:sz w:val="22"/>
                <w:szCs w:val="22"/>
                <w:color w:val="auto"/>
              </w:rPr>
            </w:pPr>
          </w:p>
        </w:tc>
      </w:tr>
      <w:tr>
        <w:trPr>
          <w:trHeight w:val="20"/>
        </w:trPr>
        <w:tc>
          <w:tcPr>
            <w:tcW w:w="8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November 19, 2015, the Company completed an offering of $450.0 million aggregate principal amount of its 6.75% senior notes due December 1, 2023 (the “2023 Notes”) and $550.0 million aggregate principal amount of its 7.00% senior notes due December 1, 2025 (the “2025 Notes” and, together with the 2023 Notes, the “Notes”). The Notes were sold in the United States to qualified institutional buyers pursuant to Rule 144A under the Securities Act of 1933, as amended (the “Securities Act”), and outside the United States pursuant to Regulation S under the Securities Act. The carrying value of issuance costs related to the Notes is $11.9 million as of April 2, 2016, and is presented on the Consolidated Balance Sheet as a direct deduction of Long-term debt.</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Notes were issued pursuant to an indenture, dated as of November 19, 2015 (the “Indenture”), by and among the Company, the Company’s domestic subsidiaries that guarantee the Company’s obligations under its revolving credit facility, as guarantors (the “Guarantors”), and MUFG Union Bank, N.A., as trustee. The Company has used and intends to continue to use the net proceeds of the offering of the Notes for general corporate purposes, including share repurchases and merger and acquisition activity.</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Interest is payable on the 2023 Notes at a rate of 6.75% per annum and on the 2025 Notes at a rate of 7.00% per annum. Interest on both series of Notes is payable semi-annually on June 1 and December 1 of each year, commencing on June 1, 2016. During fiscal 2016, the Company recognized $25.8 million of interest expense related to the Notes which was offset by $5.2 million of interest capitalized to property and equipment.</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2018, the Company may redeem all or part of the 2023 Notes, at a redemption price equal to their principal amount, plus a “make whole” premium as of the redemption date, and accrued and unpaid interest. In addition, at any time prior to December 1, 2018, the Company may redeem up to 35% of the original aggregate principal amount of the 2023 Notes with the proceeds of one or more equity offerings, at a redemption price equal to 106.75%, plus accrued and unpaid interest. Furthermore, at any time on or after December 1, 2018, the Company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any time prior to December 1, 2020, the Company may redeem all or part of the 2025 Notes, at a redemption price equal to their principal amount, plus a “make whole” premium as of the redemption date, and accrued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30" w:right="2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unpaid interest. In addition, at any time prior to December 1, 2018, the Company may redeem up to 35% of the original aggregate principal amount of the 2025 Notes with the proceeds of one or more equity offerings, at a redemption price equal to 107.00%, plus accrued and unpaid interest. Furthermore, at any time on or after December 1, 2020, the Company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8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Indenture contains customary events of default, including, among other things, payment default, exchange default, failure to provide certain notices thereunder and certain provisions related to bankruptcy events. The Indenture also contains customary negative covenants.</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the offering of the Notes, the Company entered into a Registration Rights Agreement, dated as of November 19, 2015 (the “Registration Rights Agreement”), with the Guarantors party thereto, on the one hand, and Merrill Lynch, Pierce, Fenner &amp; Smith Incorporated, as representative of the initial purchasers of the Notes, on the other hand.</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Registration Rights Agreement, the Company and the Guarantors have agreed to use their commercially reasonable efforts to (i) file with the SEC a registration statement (the “Exchange Offer Registration Statement”) relating to the registered exchange offer (the “Exchange Offer”) to exchange the Notes for a new series of the Company’s exchange notes having terms substantially identical in all material respects to, and in the same aggregate principal amount, as the Notes, (ii) cause the Exchange Offer Registration Statement to be declared effective by the SEC; and (iii) cause the Exchange Offer to be consummated no later than the 360</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day after November 19, 2015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certain circumstances, the Company and the Guarantors have agreed to use their commercially reasonable efforts to (i) file a shelf registration statement relating to the resale of the Notes as promptly as practicable, and (ii) cause the shelf registration statement to be declared effective by the SEC as promptly as practicable. The Company and the Guarantors have also agreed to use their commercially reasonable efforts to keep the shelf registration statement continuously effective until one year after its effective date (or such shorter period that will terminate when all the Notes covered thereby have been sold pursuant thereto).</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the Company fails to meet any of these targets, the annual interest rate on the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Notes will revert to the original level.</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2023 Notes and the 2025 Notes are traded over the counter and their fair values as of April 2, 2016, of $465.8 million and $581.6 million, respectively (compared to carrying values of $450.0 million and $550.0 million, respectively) were estimated based upon the values of their last trade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7, 2015, the Company and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The Company may request, at any time and from time to time, that the revolving credit facility be increased by an amount not to exceed $150.0 million. The revolving credit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30"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facility is available to finance working capital, capital expenditures and other corporate purposes. The Company’s obligations under the Credit Agreement are jointly and severally guaranteed by the Guarantors. During fiscal 2016, the Company borrowed and repaid $175.0 million under the revolving credit facility. As of April 2, 2016, the Company has no outstanding amounts under the Credit Agreement.</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Company's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 line loans will bear interest at a rate equal to the Applicable Rate plus the Base Rate. The Eurodollar Base Rate is the rate per annum equal to the London Interbank Offered Rate, as published by Bloomberg, for dollar deposits for interest periods of one, two, three or six months, as selected by the Company. The Applicable Rate for Eurodollar Rate loans ranges from 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Credit Agreement contains various conditions, covenants and representations with which the Company must be in compliance in order to borrow funds and to avoid an event of default, including financial covenants that the Company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The Company must also maintain a consolidated interest coverage ratio of not less than 3.00 to 1.00 as of the end of any fiscal quarter.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 line option due in full no later than ten business days after such loan is made).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April 2007, the Company issued $200.0 million aggregate principal amount of 0.75% convertible subordinated notes due 2012 (the “2012 Notes”) and</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$175.0 million aggregate principal amount of 1.00% convertible subordinated notes due 2014 (the “2014 Notes”). During fiscal 2013, the Company redeemed the remaining $26.5 million principal balance of its 2012 Notes and $47.4 million original principal amount of its 2014 Notes, which resulted in a loss of $2.8 million. The 2014 Notes became due on April 15, 2014, and the remaining principal balance of $87.5 million plus interest of $0.4 million was paid with cash on hand.</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effective interest rate for the liability component was 7.2% for the 2014 Notes during fiscal year 2014. Interest expense on the liability component of the 2014 Notes was $0.9 million and amortization of the discount was $5.2 million during fiscal 2014.</w:t>
      </w:r>
    </w:p>
    <w:p>
      <w:pPr>
        <w:spacing w:after="0" w:line="166"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offers tax-beneficial retirement contribution plans to eligible employees in the U.S and certain other countries. Eligible employees in certain countries outside of the U.S. are eligible to participate in stakeholder or national pension plans with differing eligibility and contributory requirements based on local and national regulations. U.S. employees are eligible to participate in the Company's fully qualified 401(k) plans immediately upon hire. An employee may invest pretax earnings in the 401(k) plan up to the maximum legal limits (as defined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30" w:right="2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by Federal regulations). Employer contributions to the 401(k) plans are made at the discretion of the Company’s Board of Directors and are fully vested to U.S. employees after completion of two continuous years of service.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total, the Company contributed $11.7 million, $6.5 million and $5.5 million to its domestic and foreign defined contribution plans during fiscal years 2016,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a result of the Business Combination, the Company maintains two qualified defined benefit pension plans for its subsidiaries located in Germany. One of the plans is funded through a self-paid reinsurance program with $3.4 million of assets valued as on April 2, 2016. Assets of the funded plan are included in "Other non-current assets" in the Consolidated Balance Sheets. The net periodic benefit obligations of both plans was $11.3 million and $12.2 million as of April 2, 2016 and March 28, 2015, respectively, which is included in “Accrued liabilities” and “Other long-term liabilities” in the Consolidated Balance Sheets. The assumptions used in calculating the benefit obligations for the plans are dependent on the local economic conditions and were measured as of April 2, 2016 and March 28, 2015. The net periodic benefit costs were approximately $0.8 million, $0.4 million and $0.3 million for fiscal years 2016, 2015 and 2014,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employees and members of the Board of Directors are eligible to participate in the Company's Non-Qualified Deferred Compensation Plan (the "NDCP") which was assumed, amended and restated by Qorvo on January 1, 2015 as a result of the Business Combination. The NDCP provides eligible participants the opportunity to defer and invest a specified percentage of their cash compensation. The NDCP is a non-qualified plan that is maintained in a rabbi trust. The amount of compensation to be deferred by each participant is based on their own elections and is adjusted for any investment changes that the participant directs. The deferred compensation obligation and the fair value of the investments held in the rabbi trust were $6.5 million and $8.6 million as of April 2, 2016 and March 28, 2015, respectively. The current portion of the deferred compensation obligation and fair value of the assets held in the rabbi trust were $0.5 million and $5.3 million as of April 2, 2016 and March 28, 2015, respectively, and are included in "Other current assets" and "Accrued liabilities" on the Consolidated Balance Sheets. The non-current portion of the deferred compensation obligation and fair value of the assets held in the rabbi trust were $6.0 million and $3.3 million as of April 2, 2016 and March 28, 2015, respectively, and are included in "Other non-current assets" and "Other long-term liabilities" on the Consolidated Balance Sheets.</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CONTINGENT LIABILITIES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leases certain of its corporate, wafer fabrication and other facilities from multiple third-party real estate developers. The remaining terms of these operating leases range from less than one year to 12 years. Several have renewal options of up to two, ten-year periods and several also include standard inflation escalation terms. Several also include rent escalation, rent holidays, and leasehold improvement incentives which are recognized to expense on a straight-line basis. The amortization period of leasehold improvements made either at the inception of the lease or during the lease term is amortized over the lesser of the remaining life of the lease term (including renewals that are reasonably assured) or the useful life of the asset. The Company also leases various machinery and equipment and office equipment under non-cancelable operating leases. The remaining terms of these operating leases range from less than one year to approximately three years. As of April 2, 2016, the total future minimum lease payments related to facility and equipment operating leases is approximately $52.4 million.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30" w:right="27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lease payments under non-cancelable operating leases as of April 2, 2016,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Fiscal Year</w:t>
            </w: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2018</w:t>
            </w: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9,420</w:t>
            </w:r>
          </w:p>
        </w:tc>
      </w:tr>
      <w:tr>
        <w:trPr>
          <w:trHeight w:val="27"/>
        </w:trPr>
        <w:tc>
          <w:tcPr>
            <w:tcW w:w="8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2020</w:t>
            </w: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4,628</w:t>
            </w:r>
          </w:p>
        </w:tc>
      </w:tr>
      <w:tr>
        <w:trPr>
          <w:trHeight w:val="27"/>
        </w:trPr>
        <w:tc>
          <w:tcPr>
            <w:tcW w:w="8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15,448</w:t>
            </w:r>
          </w:p>
        </w:tc>
      </w:tr>
      <w:tr>
        <w:trPr>
          <w:trHeight w:val="27"/>
        </w:trPr>
        <w:tc>
          <w:tcPr>
            <w:tcW w:w="8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minimum payment</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52,352</w:t>
            </w:r>
          </w:p>
        </w:tc>
      </w:tr>
      <w:tr>
        <w:trPr>
          <w:trHeight w:val="20"/>
        </w:trPr>
        <w:tc>
          <w:tcPr>
            <w:tcW w:w="8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 expense under operating leases, including facilities and equipment, was approximately $14.2 million, $12.1 million, and $10.7 million for fiscal years 2016,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its business that have not been fully adjudicated. These actions, when finally concluded and determined, will not, in the opinion of management, have a material adverse effect upon the Company’s consolidated financial position or results of operations.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RESTRUCTURING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years 2016 and 2015, the Company recorded restructuring expenses in "Other operating expense" of approximately $10.1 million (including stock-based compensation) and $10.9 million, respectively, as a result of the Business Combination (see Note 5), primarily related to employee termination benefits. The restructuring obligations (relating primarily to employee termination benefits) totaling $1.1 million and $6.4 million as of April 2, 2016 and March 28, 2015, respectively, are included in “Accrued liabilities” in the Consolidated Balance Sheets.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fiscal 2014, the Company recorded $11.1 million of restructuring expenses, related to (1) efforts initiated to achieve manufacturing efficiencies, (2) efforts initiated to reduce operating expenses, (3) expenses associated with the sale of its GaAs semiconductor manufacturing facility in the U.K., and (4) expenses associated with the 2009 economic restructuring efforts.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fiscal 2014, the Company initiated restructuring efforts to achieve manufacturing efficiencies. The Company recorded restructuring expenses in “Other operating expense” of approximately $4.1 million, in fiscal 2014, primarily related to employee termination benefits. This restructuring initiative was completed during fiscal 2014.</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fourth quarter of fiscal 2014, the Company initiated another restructuring to reduce operating expenses. The Company recorded restructuring expenses in “Other operating expense” of approximately $1.3 million and $2.5 million, in fiscal years 2015 and 2014, respectively, primarily related to employee termination benefits. As part of this restructuring, the Company discontinued engineering efforts related to an IPRD project and impaired the intangible asset in the amount of $11.3 million, which is also recorded in “Other operating expense” (see Note 6). This restructuring initiative was completed during fiscal 2015.</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March 2013, the Company announced that it would phase out manufacturing in its Newton Aycliffe, U.K.-based GaAs facility and transition the remaining product demand from that facility to its GaAs manufacturing facility in Greensboro, N.C. During the second quarter of fiscal 2014, the Company sold its U.K.-based GaAs facility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Compound Photonics. The Company recorded restructuring charges in “Other operating expense” of approximately $4.4 million in fiscal year 2014 primarily related to impaired property, plant and equipment and employee termination benefits. This restructuring initiative was completed during fiscal 2014.</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fiscal 2009, the Company initiated a restructuring to reduce manufacturing capacity and costs and operating expenses due primarily to lower demand for its products resulting from the global economic slowdown. The restructuring decreased the Company’s workforce and resulted in the impairment of certain property and equipment, among other charges. The Company recorded restructuring charges in “Other operating expense” of approximately $0.1 million, $0.2 million and $0.1 million in fiscal years 2016, 2015 and 2014, respectively, related to lease and other contract termination costs. The current and long-term restructuring obligations (relating primarily to lease obligations) totaling $3.0 million and $3.5 million as of April 2, 2016 and March 28, 2015, respectively, are included in “Accrued liabilities” and “Other long-term liabilities” in the Consolidated Balance Sheets. As of April 2, 2016, the restructuring associated with the adverse macroeconomic business environment is substantially complete. The Company expects to record approximately $0.8 million of additional restructuring charges primarily associated with ongoing expenses related to exited leased facilities.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w w:val="96"/>
              </w:rPr>
              <w:t>Income (loss) before income taxes consists of the following components (in thousands):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33,061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30,993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121,241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the income tax provision are as follows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rPr>
              <w:t>Fiscal Year</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(4,285)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(15,862)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(33,346)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(31,229)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12,189</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109,970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(25,983)</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75,062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8"/>
        <w:spacing w:after="0" w:line="275" w:lineRule="auto"/>
        <w:tabs>
          <w:tab w:leader="none" w:pos="2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fiscal 2016, the state deferred tax expense included a $31.0 million income tax expense related to an increase in the valuation allowance for the deferred tax asset related to state net operating losses and tax credits.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or benefit from income taxes to income tax (expense) or benefit computed by applying the statutory federal income tax rate to pre-tax (loss) income for fiscal years 2016, 2015 and 2014 is as follows (dollars in thousands):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46355</wp:posOffset>
            </wp:positionV>
            <wp:extent cx="5205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51"/>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w:t>
            </w:r>
          </w:p>
        </w:tc>
        <w:tc>
          <w:tcPr>
            <w:tcW w:w="240" w:type="dxa"/>
            <w:vAlign w:val="bottom"/>
          </w:tcPr>
          <w:p>
            <w:pPr>
              <w:spacing w:after="0"/>
              <w:rPr>
                <w:sz w:val="18"/>
                <w:szCs w:val="18"/>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Percentage</w:t>
            </w:r>
          </w:p>
        </w:tc>
        <w:tc>
          <w:tcPr>
            <w:tcW w:w="220" w:type="dxa"/>
            <w:vAlign w:val="bottom"/>
          </w:tcPr>
          <w:p>
            <w:pPr>
              <w:spacing w:after="0"/>
              <w:rPr>
                <w:sz w:val="18"/>
                <w:szCs w:val="18"/>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Amount</w:t>
            </w:r>
          </w:p>
        </w:tc>
        <w:tc>
          <w:tcPr>
            <w:tcW w:w="1120" w:type="dxa"/>
            <w:vAlign w:val="bottom"/>
          </w:tcPr>
          <w:p>
            <w:pPr>
              <w:jc w:val="right"/>
              <w:ind w:right="251"/>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tax (expense) benefit at statutory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3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federal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1,002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(42,434)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(8,355)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Decrease (increase) resulting from:</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benefit (provision), net of federal</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benefit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(1,320)</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(6,710)</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75</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(0.31)</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2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15,459</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540.21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3,538</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3,177</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(13.31)</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574</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(2.41)</w:t>
            </w:r>
          </w:p>
        </w:tc>
      </w:tr>
      <w:tr>
        <w:trPr>
          <w:trHeight w:val="229"/>
        </w:trPr>
        <w:tc>
          <w:tcPr>
            <w:tcW w:w="3140" w:type="dxa"/>
            <w:vAlign w:val="bottom"/>
          </w:tcPr>
          <w:p>
            <w:pPr>
              <w:ind w:left="40"/>
              <w:spacing w:after="0"/>
              <w:rPr>
                <w:sz w:val="20"/>
                <w:szCs w:val="20"/>
                <w:color w:val="auto"/>
              </w:rPr>
            </w:pPr>
            <w:r>
              <w:rPr>
                <w:rFonts w:ascii="Arial" w:cs="Arial" w:eastAsia="Arial" w:hAnsi="Arial"/>
                <w:sz w:val="18"/>
                <w:szCs w:val="18"/>
                <w:color w:val="auto"/>
              </w:rPr>
              <w:t>Effect of changes in income tax rate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applied to net deferred tax assets</w:t>
            </w:r>
          </w:p>
        </w:tc>
        <w:tc>
          <w:tcPr>
            <w:tcW w:w="220" w:type="dxa"/>
            <w:vAlign w:val="bottom"/>
          </w:tcPr>
          <w:p>
            <w:pPr>
              <w:spacing w:after="0"/>
              <w:rPr>
                <w:sz w:val="20"/>
                <w:szCs w:val="20"/>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(2,716)</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(94.92)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(20)</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(65)</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0.27</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difference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4,114</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(13,342)</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636</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(2.66)</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(25,120)</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(877.84)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135,812</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(112.02)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5,890</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(24.67)</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net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2,939</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(12.31)</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(5,362)</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(1,309)</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(635)</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2.66</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reserve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(8,699)</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(3,928)</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(1,482)</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6.21</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Deemed dividend</w:t>
            </w:r>
          </w:p>
        </w:tc>
        <w:tc>
          <w:tcPr>
            <w:tcW w:w="22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(3,984)</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(2,751)</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(1,122)</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4.70</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Write-off U.K. gross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(12,699)</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53.19</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w w:val="95"/>
              </w:rPr>
              <w:t>Domestic production activities deduction</w:t>
            </w:r>
          </w:p>
        </w:tc>
        <w:tc>
          <w:tcPr>
            <w:tcW w:w="22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2,620</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tax benefit (expense)</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643</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3,586</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(164)</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0.69</w:t>
            </w:r>
          </w:p>
        </w:tc>
      </w:tr>
      <w:tr>
        <w:trPr>
          <w:trHeight w:val="237"/>
        </w:trPr>
        <w:tc>
          <w:tcPr>
            <w:tcW w:w="31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(25,983)</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75,062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(11,231)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47.05 %</w:t>
            </w:r>
          </w:p>
        </w:tc>
      </w:tr>
      <w:tr>
        <w:trPr>
          <w:trHeight w:val="27"/>
        </w:trPr>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40"/>
          </w:cols>
          <w:pgMar w:left="240" w:top="130" w:right="31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Significant components of the Company’s net deferred income taxes are as follows (in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w:t>
            </w:r>
          </w:p>
        </w:tc>
        <w:tc>
          <w:tcPr>
            <w:tcW w:w="92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19,588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15,878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Basis in stock and other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Equity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93,340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85,150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13,341</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52,050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72,169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other credits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68,086</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Other deferred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32,535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37,590</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293,284</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(13,777)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 net of valuation allowance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260,125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279,507</w:t>
            </w:r>
          </w:p>
        </w:tc>
      </w:tr>
      <w:tr>
        <w:trPr>
          <w:trHeight w:val="169"/>
        </w:trPr>
        <w:tc>
          <w:tcPr>
            <w:tcW w:w="85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Amortization and purchase accounting basis difference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(322,578)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(410,801)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(12,864)</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Deferred gain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deferred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(393,945)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(428,856)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(133,820)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(149,349)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8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included in consolidated balance sheets: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150,208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10,632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(152,160)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(310,189)</w:t>
            </w:r>
          </w:p>
        </w:tc>
      </w:tr>
      <w:tr>
        <w:trPr>
          <w:trHeight w:val="291"/>
        </w:trPr>
        <w:tc>
          <w:tcPr>
            <w:tcW w:w="85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(133,820)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(149,349)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 has recorded a $34.7 million and a $13.8 million valuation allowance against the U.S. deferred tax assets and deferred tax assets at foreign subsidiaries as of April 2, 2016 and March 28, 2015, respectively. These valuation allowances were established based upon management's opinion that it is more likely than not that the benefit of these deferred tax assets may not be realized. Realization is dependent upon generating future income in the taxing jurisdictions in which the operating loss carryovers, credit carryovers, depreciable tax basis and other tax deferred assets exist. It is management's intent to reevaluate the ability to realize the benefit of these deferred tax assets on a quarterly basis.</w:t>
      </w:r>
    </w:p>
    <w:p>
      <w:pPr>
        <w:spacing w:after="0" w:line="1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valuation allowance against net deferred tax assets increased in fiscal 2016 by $20.9 million. The increase was comprised primarily of $20.2 million increase in the valuation allowance for state deferred tax assets for net operating losses and tax credits, a $5.0 million increase in the valuation allowance for foreign net operating loss deferred tax assets, and a $4.3 million decrease in the valuation allowance related to a deferred tax asset recorded in the initial purchase price accounting for the Business Combination. The Business Combination adjustment related to a deferred tax asset which was recorded during fiscal 2015 in the initial purchase price accounting with a full valuation allowance, but which deferred tax asset was determined in fiscal 2016 to not exist as of the acquisition date. Accordingly, in fiscal 2016, that deferred tax asset was removed along with the offsetting deferred tax asset valuation allowance.</w:t>
      </w:r>
    </w:p>
    <w:p>
      <w:pPr>
        <w:spacing w:after="0" w:line="16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fiscal 2016, North Carolina enacted legislation to reduce the corporate income tax rate from 5% to 4% and phase-in over a three-year period a move to a single sales factor apportionment methodology. In addition, the Company underwent operational changes to leverage existing resources and capabilities of its Singapore subsidiary and consolidate operations and responsibilities associated with its foreign back-end manufacturing operations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foreign customers in that Singapore subsidiary. Together these changes result in a significant decrease in the amount of future taxable income expected to be allocated to North Carolina and the other states in which the net operating loss and credit carryovers exist. As a result, it is no longer more likely than not that those state net operating loss and credit carryovers for which a valuation allowance is being provided will be used before they expire. The foreign net operating losses relate to the China subsidiary which owns the new internal assembly and test facility that became operational during the current fiscal year and has incurred losses since inception. At the end of fiscal 2016, a $5.2 million valuation allowance remained against foreign net deferred tax assets and a $29.5 million valuation allowance remained against domestic deferred tax assets as management has determined it is more likely than not that the related deferred tax assets will not be realized, effectively increasing the domestic net deferred tax liabilities.</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valuation allowance against net deferred tax assets decreased in fiscal 2015 by $129.5 million. The decrease was comprised of $135.7 million related to domestic deferred tax assets for which realization is now more likely than not with the increase in domestic deferred tax liabilities related to domestic amortizable intangible assets arising in connection with the Business Combination and other changes in the net deferred tax assets for foreign subsidiaries during the fiscal year, offset by an increase of $6.2 million related to deferred tax assets acquired in the Business Combination that are not more likely than not of being realized. As of the end of fiscal 2015, a $0.2 million valuation allowance remained against foreign net deferred tax assets and a $13.6 million valuation allowance remained against domestic deferred tax assets as it is more likely than not that the related deferred tax assets will not be realized, effectively increasing the domestic net deferred tax liabilities.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valuation allowance against net deferred tax assets decreased in fiscal 2014 by $20.9 million. The decrease was comprised of the reversal of the $12.0 million U.K. valuation allowance established during fiscal 2013 and $15.1 million related to deferred tax assets used against deferred intercompany profits, offset by increases related to a $3.4 million adjustment in the net operating losses acquired in the Amalfi acquisition and $2.8 million for other changes in net deferred tax assets for domestic and for other foreign subsidiaries during the fiscal year. The U.K. valuation allowance was reversed in connection with the sale of the U.K. manufacturing facility in fiscal 2014 and the write-off of the remaining U.K. deferred tax assets.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April 2, 2016, the Company had federal loss carryovers of approximately $220.5 million that expire in fiscal years 2017 to 2035 if unused and state losses of approximately $173.5 million that expire in fiscal years 2017 to 2035 if unused. Federal research credits of $94.3 million, federal foreign tax credits of $4.9 million, and state credits of $52.4 million may expire in fiscal years 2018 to 2036, 2017 to 2026, and 2017 to 2031, respectively. Federal alternative minimum tax credits of $3.2 million will carry forward indefinitely. Included in the amounts above are certain net operating losses and other tax attribute assets acquired in conjunction with acquisitions in the current and prior years. The utilization of acquired domestic assets is subject to certain annual limitations as required under Internal Revenue Code Section 382 and similar state income tax provisions.</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has continued to expand its operations and increase its investments in numerous international jurisdictions. These activities expose the Company to taxation in multiple foreign jurisdictions. It is management's opinion that current and future undistributed foreign earnings will be permanently reinvested. Accordingly, no provision for U.S. federal and state income taxes has been made thereon. It is not practical to estimate the additional tax that would be incurred, if any, if the permanently reinvested earnings were repatriated. At April 2, 2016, the Company has not provided U.S. taxes on approximately $754.7 million of undistributed earnings of foreign subsidiaries that have been indefinitely reinvested outside the U.S.</w:t>
      </w:r>
    </w:p>
    <w:p>
      <w:pPr>
        <w:spacing w:after="0" w:line="1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the Business Combination, the Company acquired foreign subsidiaries with tax holiday agreements in Costa Rica and Singapore. These tax holiday agreements have varying rates and expire in March 2024 and December 2021, respectively. Incentives from these countries are subject to the Company meeting certain employment and investment requirements. Income tax expense decreased in fiscal 2016 and 2015 by $8.3 million (approximately $0.06 per basic and diluted share impact), and $19.1 million (approximately $0.21 per basic and diluted share impact), respectively, as a result of these agreements.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gross unrecognized tax benefits totaled $69.1 million as of April 2, 2016, $59.4 million as of March 28, 2015, and $39.4 million as of March 29, 2014. Of these amounts, $64.2 million (net of federal benefit of state taxes), $55.0 million (net of federal benefit of state taxes), and $30.9 million (net of federal benefit of state taxes) as of April 2, 2016, March 28, 2015, and March 29, 2014, respectively, represent the amounts of unrecognized tax benefits that, if recognized, would impact the effective tax rate in each of the fiscal years.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130" w:right="29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fiscal 2014 through fiscal 2016 beginning and ending amount of gross unrecognized tax benefits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7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37,917</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Additions based on positions related to current year</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2,181</w:t>
            </w:r>
          </w:p>
        </w:tc>
      </w:tr>
      <w:tr>
        <w:trPr>
          <w:trHeight w:val="27"/>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years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Reductions for tax positions in prior years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7"/>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statute of limitations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39,423</w:t>
            </w:r>
          </w:p>
        </w:tc>
      </w:tr>
      <w:tr>
        <w:trPr>
          <w:trHeight w:val="27"/>
        </w:trPr>
        <w:tc>
          <w:tcPr>
            <w:tcW w:w="7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the fiscal 2015 additions to tax positions in prior years, $17.1 million was assumed by the Company in the Business Combination and relates to positions taken on tax returns for pre-acquisition periods.</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It is the Company’s policy to recognize interest and penalties related to uncertain tax positions as a component of income tax expense. During fiscal years 2016, 2015 and 2014, the Company recognized $1.6 million, $1.2 million, and $0.9 million, respectively, of interest and penalties related to uncertain tax positions. Accrued interest and penalties related to unrecognized tax benefits totaled $5.0 million, $3.4 million, and $2.3 million as of April 2, 2016, March 28, 2015 and March 29, 2014, respectively.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unrecognized tax benefits of $69.1 million and accrued interest and penalties of $5.0 million at the end of fiscal 2016 are recorded on the balance sheet as a $12.4 million long term liability, with the balance reducing the carrying value of the gross deferred tax assets.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Within the next 12 months, the Company believes it is reasonably possible that only a minimal amount of gross unrecognized tax benefits will be reduced as a result of reductions for tax positions taken in prior years where the only uncertainty was related to the timing of the tax deduction.</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taxes payable of $29.9 million and $5.8 million as of April 2, 2016 and March 28, 2015, respectively, are included in "Other current liabilities" on the Consolidated Balance Sheets.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RFMD's and TriQuint's federal, North Carolina, and California tax returns for fiscal 2013 and calendar 2012, respectively, and subsequent tax years remain open for examination. Returns for calendar years 2005 through 2007 have been examined by the German taxing authorities and returns for subsequent fiscal tax years remain open for examination. Other material jurisdictions that are subject to examination by tax authorities are the U.K. (fiscal 2013 through present), Singapore (calendar 2011 through present) and China (calendar year 2004 through present). Tax attributes (including net operating loss and credit carryovers) arising in earlier fiscal years remain open to adjustment.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NET (LOSS) INCOME PER SHARE</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Pursuant to the terms of the Merger Agreement, effective January 1, 2015, the Company effected a one-for-four reverse stock split of the Company's issued and outstanding shares of common stock. In accordance with Staff Accounting Bulletin Topic 4.C, all share and per share information contained in the accompanying Consolidated Financial Statements, Notes to the Consolidated Financial Statements and Management's Discussion and Analysis of Financial Condition and Results of Operation (included in Item 7 of this report) have been retroactively adjusted to reflect the reverse stock split for all periods presented. See Note 5 for a further discussion of the Business Combination.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30" w:right="25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income per share (in thousands, except per share data):</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Fiscal Year</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Numerator:</w:t>
            </w: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Numerator for basic and diluted net (loss) income per share — net (loss)</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(28,845)</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196,303</w:t>
            </w:r>
          </w:p>
        </w:tc>
        <w:tc>
          <w:tcPr>
            <w:tcW w:w="12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income available to common stockholders</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Denominator for basic net (loss) income per share — weighted average</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shares</w:t>
            </w:r>
          </w:p>
        </w:tc>
        <w:tc>
          <w:tcPr>
            <w:tcW w:w="1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141,937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90,477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70,499</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Stock-based awards</w:t>
            </w:r>
          </w:p>
        </w:tc>
        <w:tc>
          <w:tcPr>
            <w:tcW w:w="1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w w:val="96"/>
              </w:rPr>
              <w:t>Denominator for diluted net (loss) income per share — adjusted weighted</w:t>
            </w:r>
          </w:p>
        </w:tc>
        <w:tc>
          <w:tcPr>
            <w:tcW w:w="1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9"/>
              </w:rPr>
              <w:t>141,937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93,211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72,019</w:t>
            </w:r>
          </w:p>
        </w:tc>
        <w:tc>
          <w:tcPr>
            <w:tcW w:w="0" w:type="dxa"/>
            <w:vAlign w:val="bottom"/>
          </w:tcPr>
          <w:p>
            <w:pPr>
              <w:spacing w:after="0"/>
              <w:rPr>
                <w:sz w:val="1"/>
                <w:szCs w:val="1"/>
                <w:color w:val="auto"/>
              </w:rPr>
            </w:pPr>
          </w:p>
        </w:tc>
      </w:tr>
      <w:tr>
        <w:trPr>
          <w:trHeight w:val="277"/>
        </w:trPr>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average shares and assumed conversions</w:t>
            </w: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6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Basic net (loss) income per share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net (loss) income per share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60" w:type="dxa"/>
            <w:vAlign w:val="bottom"/>
            <w:vMerge w:val="continue"/>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computation of diluted net loss per share for fiscal 2016, approximately 5.0 million shares were excluded because the effect of their inclusion would have been anti-dilutive. In the computation of diluted net income per share for fiscal years 2015 and 2014, less than 0.1 million and 1.8 million shares were excluded because the exercise price of the options was greater than the average market price of the underlying common stock and the effect of their inclusion would have been anti-dilutive.</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computations of diluted net income per share for fiscal years 2015 and 2014 do not assume the conversion of the 2014 Notes. The 2014 Notes became due on April 15, 2014, and the remaining principal balance of $87.5 million plus interest of $0.4 million was paid with cash on hand.</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 - RF Micro Devices, Inc.</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The 2003 Stock Incentive Plan (the "2003 Plan") was approved by the Company's stockholders on July 22, 2003, and the Company was permitted to grant stock options and other types of equity incentive awards under the 2003 Plan, such as stock appreciation rights, restricted stock awards, performance shares and performance units.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Directors’ Stock Option Plan - RF Micro Devices, Inc.</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 the Company’s 2006 annual meeting of stockholders, stockholders of the Company adopted the 2006 Directors’ Stock Option Plan, which replaced the Non-Employee Directors’ Stock Option Plan and reserved an additional 0.3 million shares of common stock for issuance to non-employee directors. Under the terms of this plan, directors who were not employees of the Company were entitled to receive options to acquire shares of common stock.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Incentive Plan - RF Micro Devices, Inc.</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currently grants stock options and restricted stock units to employees and directors under the 2012 Stock Incentive Plan (the "2012 Plan"), which was approved by the Company's stockholders on August 16, 2012 and assumed by the Company in connection with the Business Combination. The Company is permitted to grant stock options and other types of equity incentive awards, under the 2012 Plan, such as stock appreciation rights, restricted stock awards, performance shares and performance units.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130" w:right="29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maximum number of shares issuable under the 2012 Plan may not exceed the sum of (a) 4.3 million shares, plus (b) any shares of common stock (i) remaining available for issuance as of the effective date of the 2012 Plan under the Company's prior plans and (ii) subject to an award granted under a prior plan, which awards are forfeited, canceled, terminated, expire or lapse for any reason. As of April 2, 2016, 4.4 million shares were available for issuance under the 2012 Plan. The aggregate number of shares subject to performance-based restricted stock units awarded for fiscal 2016 under the 2012 Plan was 0.1 million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Program - TriQuint Semiconductor, Inc.</w:t>
      </w:r>
    </w:p>
    <w:p>
      <w:pPr>
        <w:spacing w:after="0" w:line="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Effective upon the closing of the Business Combination, the Company assumed the TriQuint, Inc. 1996 Stock Incentive Program (the “TriQuint 1996 Stock Incentive Program”), originally adopted by TriQuint. The TriQuint 1996 Stock Incentive Program provides for the grant of incentive and non-qualified stock options to officers, outside directors and other employees of TriQuint or any parent or subsidiary. The TriQuint 1996 Stock Incentive Program was amended in 2002 to provide that options granted thereunder must have an exercise price per share no less than 100% of the fair market value of the share price on the grant date. In 2005, the TriQuint 1996 Stock Incentive Program was further amended to extend the term of the program to 2015 and permit the award of restricted stock, restricted stock units, stock appreciation rights, performance shares and performance units in addition to the grant of stock options. In addition, the amendment provided specific performance criteria that the plan administrator may use to establish performance objectives. The terms of each grant under the TriQuint 1996 Stock Incentive Program may not exceed ten years. No further awards can be granted under this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Inducement Award Plan- TriQuint Semiconductor, Inc.</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Effective upon the closing of the Business Combination, the Company assumed the sponsorship of the TriQuint, Inc. 2008 Inducement Award Plan (the “TriQuint 2008 Inducement Award Plan”), originally adopted by TriQuint. The TriQuint 2008 Inducement Award Plan provides for the grant of nonstatutory stock options, restricted stock, restricted stock units, stock appreciation rights and other stock or cash awards to employees of TriQuint or any parent or subsidiary. The options granted thereunder must have an exercise price per share no less than 100% of the fair market value per share on the date of grant. The terms of each grant under the plan may not exceed ten years. No further awards can be granted under this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Incentive Plan - TriQuint Semiconductor, Inc.</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Effective upon the closing of the Business Combination, the Company assumed the TriQuint, Inc. 2009 Incentive Plan (the “TriQuint 2009 Incentive Plan”), originally adopted by TriQuint. The TriQuint 2009 Incentive Plan provides for the grant of stock options, restricted stock units, stock appreciation rights and other stock or cash awards to employees, officers, directors, consultants, agents, advisors and independent contractors of TriQuint and its subsidiaries and affiliates. The options granted thereunder must have an exercise price per share no less than 100% of the fair market value per share on the date of grant. The terms of each grant under the TriQuint 2009 Incentive Plan may not exceed ten years. No further awards can be granted under this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Incentive Plan - TriQuint Semiconductor, Inc.</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Effective upon the closing of the Business Combination, the Company assumed the TriQuint, Inc. 2012 Incentive Plan (the “TriQuint 2012 Incentive Plan”), originally adopted by TriQuint. The TriQuint 2012 Incentive Plan replaces the TriQuint 2009 Incentive Plan and provides for the grant of stock options, restricted stock units, stock appreciation rights and other stock or cash awards to employees, officers, directors, consultants, agents, advisors and independent contractors of TriQuint and its subsidiaries and affiliates. The options granted thereunder must have an exercise price per share no less than 100% of the fair market value per share on the date of grant. The terms of each grant under the TriQuint 2012 Incentive Plan may not exceed ten years. No further awards can be granted under this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Incentive Plan - TriQuint Semiconductor, Inc.</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upon the closing of the Business Combination, the Company assumed the TriQuint, Inc. 2013 Incentive Plan (the “TriQuint 2013 Incentive Plan”), originally adopted by TriQuint, allowing Qorvo to issue awards under this plan. The TriQuint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TriQuint 2013 Incentive Plan. The options granted thereunder must have an exercise price per</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9" w:right="25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share no less than 100% of the fair market value per share on the date of grant. The terms of each grant under the TriQuint 2013 Incentive Plan may not exceed ten years. As of April 2, 2016, 3.5 million shares were available for issuance under the TriQuint 2013 Incentive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Inducement Stock Plan - Qorvo, Inc.</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2015 Inducement Stock Plan (the "2015 Inducement Plan") provides for the grant of equity awards to persons as a material inducement to become employees of the Company or its affiliates. The plan provides for the grant of stock options, restricted stock units, stock appreciation rights and other stock-based awards. The maximum number of shares issuable under the 2015 Inducement Plan may not exceed the sum of (a) 0.3 million shares, plus (b) any shares of common stock (i) remaining available for issuance as of the effective date of the 2015 Inducement Stock Plan under the TriQuint 2008 Inducement Award Plan and (ii) subject to an award granted under the TriQuint 2008 Inducement Award Plan, which awards are forfeited, canceled, terminated, expire or lapse for any reason. No awards were made under the 2015 Inducement Plan in fiscal years 2016 or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 Qorvo, Inc.</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upon closing of the Business Combination, the Company assumed the TriQuint Employee Stock Purchase Plan ("ESPP"), which is intended to qualify as an “employee stock purchase plan” under Section 423 of the Internal Revenue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At April 2, 2016, 5.8 million shares were available for future issuance under this plan. The Company makes no cash contributions to the ESPP, but bears the expenses of its administration. The Company issued 0.4 million shares under the ESPP in fiscal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fiscal years 2016, 2015 and 2014, the primary stock-based awards and their general terms and conditions are as follows: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Stock options are granted to employees with an exercise price equal to the market price of the Company’s stock at the date of grant, generally vest over a four-year period from the grant date, and generally expire 10 years from the grant date. Restricted stock units granted by the Company in fiscal years 2016, 2015 and 2014 are either service-based, performance and service-based, or based on total stockholder return. Service-based restricted stock units generally vest over a four-year period from the grant date. Performance and service-based restricted stock units are earned based on Company performance of stated metrics generally during the fiscal year and, if earned, vest one-half when earned and the balance over two years. Restricted stock units based on total stockholder return are earned based upon total stockholder return of the Company in comparison to the total stockholder return of a benchmark index and can be earned over one, two and three-year performance periods. Under the 2012 Plan for fiscal years 2014 and 2013 and the 2006 Directors’ Stock Option Plan for fiscal 2012, stock options granted to non-employee directors (other than initial options, as described below) had an exercise price equal to the fair market value of the Company’s stock at the date of grant, vested immediately upon grant and expire 10 years from the grant date. Each non-employee director who was first elected or appointed to the Board of Directors during such period received an initial option covering shares with a value set by the Board of Directors at an exercise price equal to the fair market value of the Company’s stock at the date of grant, which vested over a two-year period from the grant date and expired 10 years from the grant date. At the director’s option, the director could elect to receive all or part of the initial grant in restricted stock units. In fiscal year 2016, each non-employee director who was first elected or appointed to the Board of Directors during such period received an initial grant in restricted stock units. Thereafter, each non-employee director was eligible to receive an annual grant of restricted stock units.</w:t>
      </w:r>
    </w:p>
    <w:p>
      <w:pPr>
        <w:spacing w:after="0" w:line="172"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2016, stock-based compensation of $16.1 million was recognized upon the grant of 0.2 million options and restricted share units to certain officers of the Company.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30"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17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pre-tax stock-based compensation expense recognized in the Consolidated Statements of Operations was $139.5 million for fiscal 2016, net of expense capitalized into inventory. For fiscal years 2015 and 2014, the total pre-tax stock-based compensation expense recognized was $64.9 million and $29.9 million, respectively, net of expense capitalized into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summary of activity of the Company’s director and employee stock option plans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Weighted-</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Weighted-Average</w:t>
            </w:r>
          </w:p>
        </w:tc>
        <w:tc>
          <w:tcPr>
            <w:tcW w:w="260" w:type="dxa"/>
            <w:vAlign w:val="bottom"/>
          </w:tcPr>
          <w:p>
            <w:pPr>
              <w:spacing w:after="0"/>
              <w:rPr>
                <w:sz w:val="18"/>
                <w:szCs w:val="18"/>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Remaining Contractual</w:t>
            </w:r>
          </w:p>
        </w:tc>
        <w:tc>
          <w:tcPr>
            <w:tcW w:w="26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Price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Term (in years)</w:t>
            </w:r>
          </w:p>
        </w:tc>
        <w:tc>
          <w:tcPr>
            <w:tcW w:w="26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28, 2015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77.79</w:t>
            </w: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Outstanding as of April 2, 2016</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196,210</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Vested and expected to vest as of</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2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22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195,663</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2, 2016</w:t>
            </w: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Options exercisable as of April 2, 2016</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4,970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17.78</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164,364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aggregate intrinsic value in the table above represents the total pre-tax intrinsic value, based upon the Company’s closing stock price of $50.82 as of April 2, 2016, that would have been received by the option holders had all option holders with in-the-money options exercised their options as of that date.</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a Black-Scholes option-pricing model based on the assumptions noted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Fiscal Year</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7"/>
        </w:trPr>
        <w:tc>
          <w:tcPr>
            <w:tcW w:w="4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14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4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Weighted-average grant-date fair value of options granted</w:t>
            </w: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period</w:t>
            </w: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32.62</w:t>
            </w: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22.49</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8.30</w:t>
            </w:r>
          </w:p>
        </w:tc>
      </w:tr>
      <w:tr>
        <w:trPr>
          <w:trHeight w:val="27"/>
        </w:trPr>
        <w:tc>
          <w:tcPr>
            <w:tcW w:w="46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total intrinsic value of options exercised during fiscal 2016, was $74.9 million. For fiscal years 2015 and 2014, the total intrinsic value of options exercised was $83.7 million and $3.1 million, respectively.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received from the exercise of stock options and from participation in the employee stock purchase plan (excluding accrued unremitted employee funds) was approximately $44.5 million for fiscal 2016 and is reflected in cash flows from financing activities in the Consolidated Statements of Cash Flows. The Company settles employee stock options with newly issued shares of the Company's common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used the implied volatility of market-traded options on the Company’s common stock for the expected volatility assumption input to the Black-Scholes option-pricing model, consistent with the guidance in ASC 718. The selection of implied volatility data to estimate expected volatility was based upon the availability of actively-traded options on the Company’s common stock and the Company’s assessment that implied volatility is more representative of future common stock price trends than historical volatility.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dividend yield assumption is based on the Company’s history and expectation of future dividend payouts and may be subject to change in the future. The Company has never paid a dividend.</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expected life of employee stock options represents the weighted-average period that the stock options are expected to remain outstanding. The Company’s method of calculating the expected term of an option is based on the assumption that all outstanding options will be exercised at the midpoint of the current date and full contractual term, combined with the average life of all options that have been exercised or canceled. The Company believes that this method provides a better estimate of the future expected life based on analysis of historical exercise behavioral data.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risk-free interest rate assumption is based upon observed interest rates appropriate for the terms of the Company’s employee stock options.</w:t>
      </w:r>
    </w:p>
    <w:p>
      <w:pPr>
        <w:spacing w:after="0" w:line="23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1.6% for both stock options and restricted stock units.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The following activity has occurred with respect to restricted stock unit awards:</w:t>
            </w: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0"/>
        </w:trPr>
        <w:tc>
          <w:tcPr>
            <w:tcW w:w="6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700" w:type="dxa"/>
            <w:vAlign w:val="bottom"/>
          </w:tcPr>
          <w:p>
            <w:pPr>
              <w:spacing w:after="0"/>
              <w:rPr>
                <w:sz w:val="18"/>
                <w:szCs w:val="18"/>
                <w:color w:val="auto"/>
              </w:rPr>
            </w:pPr>
          </w:p>
        </w:tc>
        <w:tc>
          <w:tcPr>
            <w:tcW w:w="2420" w:type="dxa"/>
            <w:vAlign w:val="bottom"/>
            <w:gridSpan w:val="2"/>
          </w:tcPr>
          <w:p>
            <w:pPr>
              <w:ind w:left="76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6700" w:type="dxa"/>
            <w:vAlign w:val="bottom"/>
          </w:tcPr>
          <w:p>
            <w:pPr>
              <w:spacing w:after="0"/>
              <w:rPr>
                <w:sz w:val="20"/>
                <w:szCs w:val="20"/>
                <w:color w:val="auto"/>
              </w:rPr>
            </w:pPr>
          </w:p>
        </w:tc>
        <w:tc>
          <w:tcPr>
            <w:tcW w:w="2420" w:type="dxa"/>
            <w:vAlign w:val="bottom"/>
            <w:gridSpan w:val="2"/>
          </w:tcPr>
          <w:p>
            <w:pPr>
              <w:ind w:left="50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7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28, 2015</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34.29</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56.65</w:t>
            </w:r>
          </w:p>
        </w:tc>
      </w:tr>
      <w:tr>
        <w:trPr>
          <w:trHeight w:val="27"/>
        </w:trPr>
        <w:tc>
          <w:tcPr>
            <w:tcW w:w="6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51.81</w:t>
            </w:r>
          </w:p>
        </w:tc>
      </w:tr>
      <w:tr>
        <w:trPr>
          <w:trHeight w:val="27"/>
        </w:trPr>
        <w:tc>
          <w:tcPr>
            <w:tcW w:w="67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 2016</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April 2, 2016, total remaining unearned compensation cost related to nonvested restricted stock units was $54.8 million, which will be amortized over the weighted-average remaining service period of approximately 1.3 years.</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total fair value of restricted stock units that vested during fiscal 2016 was $60.2 million, based upon the fair market value of the Company’s common stock on the vesting date. For fiscal years 2015 and 2014, the total fair value of restricted stock units that vested was $93.5 million and $30.0 million, respectively.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30" w:right="25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5, 2015, the Company announced that its Board of Directors authorized the repurchase of up to $200.0 million of its outstanding common stock, exclusive of related fees, commissions or other expenses. On August 11, 2015, the Company announced the completion of this $200.0 million share repurchase program having repurchased on the open market approximately 2.4 million shares at an average price of $63.14 during fiscal 2016 and 0.8 million shares at an average price of $65.87 during fiscal 2015.</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August 11, 2015, the Company announced that its Board of Directors authorized a new share repurchase program to repurchase up to $400.0 million of the Company's outstanding common stock. On September 10, 2015, the Company announced the completion of this $400.0 million share repurchase program having repurchased approximately 7.3 million shares at an average price of $54.75 on the open market in the second quarter of fiscal 2016.</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5, 2015, the Company announced that its Board of Directors authorized a new share repurchase program to repurchase up to $1.0 billion of the Company's outstanding common stock through November 4, 2016. Under the share repurchase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and may be modified, suspended or terminated at any time without prior notice. During fiscal 2016, the Company repurchased approximately 14.6 million shares of common stock for approximately $750.0 million under the current program.</w:t>
      </w:r>
    </w:p>
    <w:p>
      <w:pPr>
        <w:spacing w:after="0" w:line="1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Business Combination, each share of RFMD common stock was converted into the right to receive 0.25 of a share of Qorvo common stock plus cash in lieu of fractional shares, and each share of TriQuint common stock was converted into the right to receive 0.4187 of a share of Qorvo common stock plus cash in lieu of fractional shares. Approximately 13,160 fractional shares were repurchased for $0.9 million.</w:t>
      </w:r>
    </w:p>
    <w:p>
      <w:pPr>
        <w:spacing w:after="0" w:line="16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Prior to the Business Combination, RFMD had a share repurchase program under which RFMD was authorized to repurchase up to $200.0 million of RFMD's outstanding shares of common stock. Denominated in shares of Qorvo common stock, during fiscal 2014, RFMD repurchased approximately 0.6 million shares at an average price of $20.12 on the open market for approximately $12.8 million including transaction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Share Repurchase Program</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16, 2016, the Company entered into variable maturity accelerated share repurchase ("ASR") agreements (a $250.0 million collared agreement and a $250.0 million uncollared agreement) with Bank of America, N.A. These agreements are part of the $1.0 billion share repurchase program described above. For the upfront payment of $500.0 million, the Company received 3.1 million shares of our common stock under the collared agreement (representing 50% of the shares the Company would have repurchased assuming an average share price of $40.78) and 4.9 million shares of our common stock under the uncollared agreement (representing 80% of the shares the Company would have repurchased assuming an average share price of $40.78). On March 10, 2016, the Company received an additional 2.0 million shares of our common stock under the collared agreement. Final settlements of the ASR agreements are expected to be completed in the first quarter of fiscal 2017.</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shares were retired in the periods they were delivered, and the upfront payment was accounted for as a reduction to stockholders' equity in the Company's Consolidated Balance Sheet in the period the payment was made. The Company reflects each ASR as a repurchase of common stock in the period delivered for purposes of calculating earnings per share and as a forward contract indexed to its own common stock. The ASRs met all of the applicable criteria for equity classification, and therefore, were not accounted for as derivative instruments.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30" w:right="2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At April 2, 2016, the Company had reserved a total of approximately 22.2 million of its authorized 405.0 million shares of common stock for future issuance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stock options under formal directors’ and employees’ stock option plans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Possible future issuance under Company stock incentive plans</w:t>
            </w:r>
          </w:p>
        </w:tc>
        <w:tc>
          <w:tcPr>
            <w:tcW w:w="1640" w:type="dxa"/>
            <w:vAlign w:val="bottom"/>
          </w:tcPr>
          <w:p>
            <w:pPr>
              <w:jc w:val="right"/>
              <w:spacing w:after="0"/>
              <w:rPr>
                <w:sz w:val="20"/>
                <w:szCs w:val="20"/>
                <w:color w:val="auto"/>
              </w:rPr>
            </w:pPr>
            <w:r>
              <w:rPr>
                <w:rFonts w:ascii="Arial" w:cs="Arial" w:eastAsia="Arial" w:hAnsi="Arial"/>
                <w:sz w:val="18"/>
                <w:szCs w:val="18"/>
                <w:color w:val="auto"/>
              </w:rPr>
              <w:t>8,181</w:t>
            </w:r>
          </w:p>
        </w:tc>
      </w:tr>
      <w:tr>
        <w:trPr>
          <w:trHeight w:val="27"/>
        </w:trPr>
        <w:tc>
          <w:tcPr>
            <w:tcW w:w="93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stock purchase plan</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Restricted stock-based units 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2,095</w:t>
            </w:r>
          </w:p>
        </w:tc>
      </w:tr>
      <w:tr>
        <w:trPr>
          <w:trHeight w:val="27"/>
        </w:trPr>
        <w:tc>
          <w:tcPr>
            <w:tcW w:w="93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 reserved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OPERATING SEGMENT AND GEOGRAPHIC INFORMATION</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operating segments as of April 2, 2016 are Mobile Products (MP) and Infrastructure and Defense Products (IDP) based on the organizational structure and information reviewed by the Company’s chief operating decision maker (or CODM), and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fourth quarter of fiscal 2015, the Company renamed its reportable segments from Cellular Products Group to MP, and Multi-Market Products Group to IDP, as a result of the Business Combination. Additionally, the CODM elected to discontinue reporting Compound Semiconductor Group as an operating segment.</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MP is a leading global supplier of RF solutions that perform various functions in the increasingly complex cellular radio front end section of smartphones and other cellular devices. These RF solutions are required in fourth generation (“4G”) data-centric devices operating under Long-Term Evolution (“LTE”) and other 4G networks, as well as third generation (“3G”) and second generation (“2G”) mobile devices. These solutions include complete RF front end modules that combine high-performance filters, power amplifiers (“PAs”) and switches, PA modules, transmit modules, antenna control solutions, antenna switch modules, switch filter modules, switch duplexer modules and envelope tracking power management devices. MP supplies its broad portfolio of RF solutions into a variety of mobile devices, including smartphones, handsets, notebook computers, wearables and tablets.</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IDP is a leading global supplier of a broad array of RF solutions to wireless network infrastructure, defense and aerospace markets and short-range connectivity applications for commercial, consumer, industrial and automotive markets. Infrastructure applications include 4G LTE and 3G base station deployments, WiFi infrastructure, microwave point-to-point radio and optical network links, and CATV wireline infrastructure. Defense and aerospace applications, which require extreme precision, reliability, durability and supply assurance, include a variety of advanced systems, such as active phased array radar, electronic warfare and various communications applications. Industrial and automotive applications include energy management, private mobile radio, satellite radio and test and measurement equipment. The Company's IDP products include high power GaAs and GaN PAs, low noise amplifiers, switches, fixed frequency and voltage-controlled oscillators, filters, attenuators, modulators, driver and transimpedance amplifiers and various multichip and hybrid assemblies.</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“All other” category includes operating expenses such as stock-based compensation, amortization of intangible assets, acquired inventory step-up and revaluation, acquisition and integration related costs, impairment of intangible asset, intellectual property rights (IPR) litigation costs, restructuring and disposal costs, start-up costs, certain consulting costs,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130" w:right="27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Fiscal 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MP</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2,083,334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1,395,035</w:t>
            </w:r>
          </w:p>
        </w:tc>
        <w:tc>
          <w:tcPr>
            <w:tcW w:w="80" w:type="dxa"/>
            <w:vAlign w:val="bottom"/>
          </w:tcPr>
          <w:p>
            <w:pPr>
              <w:spacing w:after="0"/>
              <w:rPr>
                <w:sz w:val="21"/>
                <w:szCs w:val="21"/>
                <w:color w:val="auto"/>
              </w:rPr>
            </w:pP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935,313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523,512</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212,897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2,610,726</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1,710,966</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1,148,231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5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591,751</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404,382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109,862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IDP</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108,370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72,262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(688,153)</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(354,178)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(114,836)</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122,466</w:t>
            </w:r>
          </w:p>
        </w:tc>
        <w:tc>
          <w:tcPr>
            <w:tcW w:w="80" w:type="dxa"/>
            <w:vAlign w:val="bottom"/>
            <w:tcBorders>
              <w:top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27,341</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58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5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121,241</w:t>
            </w:r>
          </w:p>
        </w:tc>
        <w:tc>
          <w:tcPr>
            <w:tcW w:w="80" w:type="dxa"/>
            <w:vAlign w:val="bottom"/>
            <w:tcBorders>
              <w:top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23,873</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60" w:type="dxa"/>
            <w:vAlign w:val="bottom"/>
            <w:gridSpan w:val="10"/>
          </w:tcPr>
          <w:p>
            <w:pPr>
              <w:spacing w:after="0"/>
              <w:rPr>
                <w:sz w:val="20"/>
                <w:szCs w:val="20"/>
                <w:color w:val="auto"/>
              </w:rPr>
            </w:pPr>
            <w:r>
              <w:rPr>
                <w:rFonts w:ascii="Arial" w:cs="Arial" w:eastAsia="Arial" w:hAnsi="Arial"/>
                <w:sz w:val="18"/>
                <w:szCs w:val="18"/>
                <w:color w:val="auto"/>
              </w:rPr>
              <w:t>(1) "All other" revenue for fiscal years 2016 and 2015 relates to royalty income that is not allocated to MP or IDP.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8"/>
              </w:rPr>
              <w:t>Fiscal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(139,516)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(64,941)</w:t>
            </w:r>
          </w:p>
        </w:tc>
        <w:tc>
          <w:tcPr>
            <w:tcW w:w="80" w:type="dxa"/>
            <w:vAlign w:val="bottom"/>
          </w:tcPr>
          <w:p>
            <w:pPr>
              <w:spacing w:after="0"/>
              <w:rPr>
                <w:sz w:val="21"/>
                <w:szCs w:val="21"/>
                <w:color w:val="auto"/>
              </w:rPr>
            </w:pPr>
          </w:p>
        </w:tc>
        <w:tc>
          <w:tcPr>
            <w:tcW w:w="52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(29,901)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(494,589)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Acquired inventory step-up and revaluation</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(26,503)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disposal costs</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IPR litigation costs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Start-up costs</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Certain consulting costs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expenses (including (gain) loss on assets and other miscellaneous</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corporate overhead)</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(688,153)</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include revenue to customers by geographic region that are summarized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Fiscal Year</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
        </w:trPr>
        <w:tc>
          <w:tcPr>
            <w:tcW w:w="55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306,328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315,775</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342,805</w:t>
            </w:r>
          </w:p>
        </w:tc>
      </w:tr>
      <w:tr>
        <w:trPr>
          <w:trHeight w:val="27"/>
        </w:trPr>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2,304,398</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1,395,191</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805,426</w:t>
            </w:r>
          </w:p>
        </w:tc>
      </w:tr>
      <w:tr>
        <w:trPr>
          <w:trHeight w:val="675"/>
        </w:trPr>
        <w:tc>
          <w:tcPr>
            <w:tcW w:w="5540" w:type="dxa"/>
            <w:vAlign w:val="bottom"/>
          </w:tcPr>
          <w:p>
            <w:pPr>
              <w:spacing w:after="0"/>
              <w:rPr>
                <w:sz w:val="24"/>
                <w:szCs w:val="24"/>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900"/>
          </w:cols>
          <w:pgMar w:left="240" w:top="130" w:right="7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20" w:type="dxa"/>
            <w:vAlign w:val="bottom"/>
          </w:tcPr>
          <w:p>
            <w:pPr>
              <w:ind w:left="560"/>
              <w:spacing w:after="0"/>
              <w:rPr>
                <w:sz w:val="20"/>
                <w:szCs w:val="20"/>
                <w:color w:val="auto"/>
              </w:rPr>
            </w:pPr>
            <w:r>
              <w:rPr>
                <w:rFonts w:ascii="Arial" w:cs="Arial" w:eastAsia="Arial" w:hAnsi="Arial"/>
                <w:sz w:val="18"/>
                <w:szCs w:val="18"/>
                <w:b w:val="1"/>
                <w:bCs w:val="1"/>
                <w:color w:val="auto"/>
              </w:rPr>
              <w:t>Fiscal Year</w:t>
            </w:r>
          </w:p>
        </w:tc>
        <w:tc>
          <w:tcPr>
            <w:tcW w:w="15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6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2016</w:t>
            </w:r>
          </w:p>
        </w:tc>
        <w:tc>
          <w:tcPr>
            <w:tcW w:w="20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2015</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4"/>
              </w:rPr>
              <w:t>12%</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4"/>
              </w:rPr>
              <w:t>18%</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7"/>
        </w:trPr>
        <w:tc>
          <w:tcPr>
            <w:tcW w:w="5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16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83</w:t>
            </w:r>
          </w:p>
        </w:tc>
        <w:tc>
          <w:tcPr>
            <w:tcW w:w="20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75</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Europe</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4</w:t>
            </w:r>
          </w:p>
        </w:tc>
        <w:tc>
          <w:tcPr>
            <w:tcW w:w="2020" w:type="dxa"/>
            <w:vAlign w:val="bottom"/>
          </w:tcPr>
          <w:p>
            <w:pPr>
              <w:jc w:val="center"/>
              <w:ind w:left="70"/>
              <w:spacing w:after="0"/>
              <w:rPr>
                <w:sz w:val="20"/>
                <w:szCs w:val="20"/>
                <w:color w:val="auto"/>
              </w:rPr>
            </w:pPr>
            <w:r>
              <w:rPr>
                <w:rFonts w:ascii="Arial" w:cs="Arial" w:eastAsia="Arial" w:hAnsi="Arial"/>
                <w:sz w:val="18"/>
                <w:szCs w:val="18"/>
                <w:color w:val="auto"/>
                <w:w w:val="99"/>
              </w:rPr>
              <w:t>6</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7"/>
        </w:trPr>
        <w:tc>
          <w:tcPr>
            <w:tcW w:w="5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1</w:t>
            </w:r>
          </w:p>
        </w:tc>
        <w:tc>
          <w:tcPr>
            <w:tcW w:w="20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include the following long-lived tangible asset amounts related to operations of the Company by geographic region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Year</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
        </w:trPr>
        <w:tc>
          <w:tcPr>
            <w:tcW w:w="5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816,882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697,305</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120,885</w:t>
            </w:r>
          </w:p>
        </w:tc>
      </w:tr>
      <w:tr>
        <w:trPr>
          <w:trHeight w:val="27"/>
        </w:trPr>
        <w:tc>
          <w:tcPr>
            <w:tcW w:w="5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0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230,006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186,066</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75,111</w:t>
            </w:r>
          </w:p>
        </w:tc>
      </w:tr>
      <w:tr>
        <w:trPr>
          <w:trHeight w:val="27"/>
        </w:trPr>
        <w:tc>
          <w:tcPr>
            <w:tcW w:w="5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Sales, for geographic disclosure purposes, are based on the “sold to” address of the customer. The “sold to” address is not always an accurate representation of the location of final consumption of the Company’s components. Of the Company’s total revenue for fiscal 2016, approximately 61% ($1,601.0 million) was from customers in China and 14% ($365.1 million) from customers in Taiwan. Long-lived tangible assets primarily include property and equipment and at April 2, 2016, approximately $183.8 million (or 18%) of the Company’s total property and equipment was located in China.</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00"/>
          </w:cols>
          <w:pgMar w:left="240" w:top="130" w:right="35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QUARTERLY FINANCIAL SUMMARY (UNAUDITED):</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2016 Quarter</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32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First</w:t>
            </w: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Second</w:t>
            </w: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73"/>
              <w:spacing w:after="0"/>
              <w:rPr>
                <w:sz w:val="20"/>
                <w:szCs w:val="20"/>
                <w:color w:val="auto"/>
              </w:rPr>
            </w:pPr>
            <w:r>
              <w:rPr>
                <w:rFonts w:ascii="Arial" w:cs="Arial" w:eastAsia="Arial" w:hAnsi="Arial"/>
                <w:sz w:val="18"/>
                <w:szCs w:val="18"/>
                <w:b w:val="1"/>
                <w:bCs w:val="1"/>
                <w:color w:val="auto"/>
              </w:rPr>
              <w:t>Third</w:t>
            </w: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780" w:type="dxa"/>
            <w:vAlign w:val="bottom"/>
          </w:tcPr>
          <w:p>
            <w:pPr>
              <w:spacing w:after="0"/>
              <w:rPr>
                <w:sz w:val="23"/>
                <w:szCs w:val="23"/>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673,641</w:t>
            </w:r>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708,335</w:t>
            </w: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620,681</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608,069</w:t>
            </w: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279,517</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284,848</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230,988</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254,200</w:t>
            </w:r>
          </w:p>
        </w:tc>
        <w:tc>
          <w:tcPr>
            <w:tcW w:w="7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(2),(3),</w:t>
            </w: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520" w:type="dxa"/>
            <w:vAlign w:val="bottom"/>
            <w:shd w:val="clear" w:color="auto" w:fill="CCEEFF"/>
          </w:tcPr>
          <w:p>
            <w:pPr>
              <w:ind w:left="80"/>
              <w:spacing w:after="0"/>
              <w:rPr>
                <w:sz w:val="20"/>
                <w:szCs w:val="20"/>
                <w:color w:val="auto"/>
              </w:rPr>
            </w:pPr>
            <w:r>
              <w:rPr>
                <w:rFonts w:ascii="Arial" w:cs="Arial" w:eastAsia="Arial" w:hAnsi="Arial"/>
                <w:sz w:val="13"/>
                <w:szCs w:val="13"/>
                <w:color w:val="auto"/>
              </w:rPr>
              <w:t>(2),(3)</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(2),(3),(6)</w:t>
            </w:r>
          </w:p>
        </w:tc>
        <w:tc>
          <w:tcPr>
            <w:tcW w:w="30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77"/>
              <w:spacing w:after="0" w:line="258" w:lineRule="exact"/>
              <w:rPr>
                <w:sz w:val="20"/>
                <w:szCs w:val="20"/>
                <w:color w:val="auto"/>
              </w:rPr>
            </w:pPr>
            <w:r>
              <w:rPr>
                <w:rFonts w:ascii="Arial" w:cs="Arial" w:eastAsia="Arial" w:hAnsi="Arial"/>
                <w:sz w:val="29"/>
                <w:szCs w:val="29"/>
                <w:color w:val="auto"/>
                <w:vertAlign w:val="subscript"/>
              </w:rPr>
              <w:t>(11,127)</w:t>
            </w:r>
            <w:r>
              <w:rPr>
                <w:rFonts w:ascii="Arial" w:cs="Arial" w:eastAsia="Arial" w:hAnsi="Arial"/>
                <w:sz w:val="11"/>
                <w:szCs w:val="11"/>
                <w:color w:val="auto"/>
              </w:rPr>
              <w:t xml:space="preserve"> (2),(3),(5)</w:t>
            </w:r>
          </w:p>
        </w:tc>
        <w:tc>
          <w:tcPr>
            <w:tcW w:w="3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357"/>
              <w:spacing w:after="0"/>
              <w:rPr>
                <w:sz w:val="20"/>
                <w:szCs w:val="20"/>
                <w:color w:val="auto"/>
              </w:rPr>
            </w:pPr>
            <w:r>
              <w:rPr>
                <w:rFonts w:ascii="Arial" w:cs="Arial" w:eastAsia="Arial" w:hAnsi="Arial"/>
                <w:sz w:val="18"/>
                <w:szCs w:val="18"/>
                <w:color w:val="auto"/>
              </w:rPr>
              <w:t xml:space="preserve">(24,202) </w:t>
            </w:r>
            <w:r>
              <w:rPr>
                <w:rFonts w:ascii="Arial" w:cs="Arial" w:eastAsia="Arial" w:hAnsi="Arial"/>
                <w:sz w:val="12"/>
                <w:szCs w:val="12"/>
                <w:color w:val="auto"/>
              </w:rPr>
              <w:t>(5),(7)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 (loss) per share: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5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64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(0.18)</w:t>
            </w:r>
          </w:p>
        </w:tc>
        <w:tc>
          <w:tcPr>
            <w:tcW w:w="780" w:type="dxa"/>
            <w:vAlign w:val="bottom"/>
          </w:tcPr>
          <w:p>
            <w:pPr>
              <w:spacing w:after="0"/>
              <w:rPr>
                <w:sz w:val="21"/>
                <w:szCs w:val="21"/>
                <w:color w:val="auto"/>
              </w:rPr>
            </w:pPr>
          </w:p>
        </w:tc>
      </w:tr>
      <w:tr>
        <w:trPr>
          <w:trHeight w:val="554"/>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2015 Quarter</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97"/>
        </w:trPr>
        <w:tc>
          <w:tcPr>
            <w:tcW w:w="3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First</w:t>
            </w: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Second</w:t>
            </w: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Third</w:t>
            </w: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Fourth</w:t>
            </w:r>
            <w:r>
              <w:rPr>
                <w:rFonts w:ascii="Arial" w:cs="Arial" w:eastAsia="Arial" w:hAnsi="Arial"/>
                <w:sz w:val="25"/>
                <w:szCs w:val="25"/>
                <w:color w:val="auto"/>
                <w:w w:val="95"/>
                <w:vertAlign w:val="superscript"/>
              </w:rPr>
              <w:t>(1)</w:t>
            </w:r>
          </w:p>
        </w:tc>
        <w:tc>
          <w:tcPr>
            <w:tcW w:w="780" w:type="dxa"/>
            <w:vAlign w:val="bottom"/>
            <w:tcBorders>
              <w:bottom w:val="single" w:sz="8" w:color="auto"/>
            </w:tcBorders>
          </w:tcPr>
          <w:p>
            <w:pPr>
              <w:spacing w:after="0"/>
              <w:rPr>
                <w:sz w:val="24"/>
                <w:szCs w:val="24"/>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316,321</w:t>
            </w:r>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397,086</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634,892</w:t>
            </w: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142,269</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167,451</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190,702</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188,886</w:t>
            </w:r>
          </w:p>
        </w:tc>
        <w:tc>
          <w:tcPr>
            <w:tcW w:w="7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38,647</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63,311</w:t>
            </w:r>
          </w:p>
        </w:tc>
        <w:tc>
          <w:tcPr>
            <w:tcW w:w="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87,863</w:t>
            </w:r>
          </w:p>
        </w:tc>
        <w:tc>
          <w:tcPr>
            <w:tcW w:w="680" w:type="dxa"/>
            <w:vAlign w:val="bottom"/>
            <w:tcBorders>
              <w:bottom w:val="single" w:sz="8" w:color="CCEEFF"/>
            </w:tcBorders>
            <w:shd w:val="clear" w:color="auto" w:fill="CCEEFF"/>
          </w:tcPr>
          <w:p>
            <w:pPr>
              <w:jc w:val="right"/>
              <w:ind w:right="437"/>
              <w:spacing w:after="0"/>
              <w:rPr>
                <w:sz w:val="20"/>
                <w:szCs w:val="20"/>
                <w:color w:val="auto"/>
              </w:rPr>
            </w:pPr>
            <w:r>
              <w:rPr>
                <w:rFonts w:ascii="Arial" w:cs="Arial" w:eastAsia="Arial" w:hAnsi="Arial"/>
                <w:sz w:val="13"/>
                <w:szCs w:val="13"/>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6,482</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(2),(3),(4)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0.52</w:t>
            </w:r>
          </w:p>
        </w:tc>
        <w:tc>
          <w:tcPr>
            <w:tcW w:w="5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0.85</w:t>
            </w:r>
          </w:p>
        </w:tc>
        <w:tc>
          <w:tcPr>
            <w:tcW w:w="64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6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780" w:type="dxa"/>
            <w:vAlign w:val="bottom"/>
          </w:tcPr>
          <w:p>
            <w:pPr>
              <w:spacing w:after="0"/>
              <w:rPr>
                <w:sz w:val="21"/>
                <w:szCs w:val="21"/>
                <w:color w:val="auto"/>
              </w:rPr>
            </w:pPr>
          </w:p>
        </w:tc>
      </w:tr>
    </w:tbl>
    <w:p>
      <w:pPr>
        <w:spacing w:after="0" w:line="170" w:lineRule="exact"/>
        <w:rPr>
          <w:sz w:val="20"/>
          <w:szCs w:val="20"/>
          <w:color w:val="auto"/>
        </w:rPr>
      </w:pPr>
    </w:p>
    <w:p>
      <w:pPr>
        <w:ind w:left="180" w:right="380" w:hanging="172"/>
        <w:spacing w:after="0" w:line="250" w:lineRule="auto"/>
        <w:tabs>
          <w:tab w:leader="none" w:pos="1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Business Combination was completed on January 1, 2015, and as a result, TriQuint's results of operations which include revenue of $259.5 million and a net loss of $132.5 million, are included for the period of January 1, 2015 through March 28, 2015.</w:t>
      </w:r>
    </w:p>
    <w:p>
      <w:pPr>
        <w:ind w:left="180" w:right="40" w:hanging="172"/>
        <w:spacing w:after="0" w:line="241" w:lineRule="auto"/>
        <w:tabs>
          <w:tab w:leader="none" w:pos="1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 recorded integration related expenses of $10.4 million, $5.6 million, $5.0 million and $5.5 million, in the first, second, third and fourth quarters of fiscal 2016, respectively, associated with the Business Combination. The Company recorded acquisition and integration related expenses of $8.5 million, $7.4 million, $7.5 million, and $20.1 million, in the first, second, third and fourth quarters of fiscal 2015, respectively, associated with the Business Combination (Note 5).</w:t>
      </w:r>
    </w:p>
    <w:p>
      <w:pPr>
        <w:spacing w:after="0" w:line="1" w:lineRule="exact"/>
        <w:rPr>
          <w:rFonts w:ascii="Arial" w:cs="Arial" w:eastAsia="Arial" w:hAnsi="Arial"/>
          <w:sz w:val="14"/>
          <w:szCs w:val="14"/>
          <w:color w:val="auto"/>
        </w:rPr>
      </w:pPr>
    </w:p>
    <w:p>
      <w:pPr>
        <w:ind w:left="180" w:right="80" w:hanging="172"/>
        <w:spacing w:after="0" w:line="241" w:lineRule="auto"/>
        <w:tabs>
          <w:tab w:leader="none" w:pos="1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 recorded restructuring expenses (including stock-based compensation) of $2.9 million, $3.8 million, $3.0 million, and $0.4 million in the first, second, third and fourth quarters of fiscal 2016, respectively, associated with the Business Combination. The Company recorded restructuring expenses (including stock-based compensation) of $10.9 million, associated with the Business Combination in the fourth quarter of fiscal 2015 (Note 5).</w:t>
      </w:r>
    </w:p>
    <w:p>
      <w:pPr>
        <w:spacing w:after="0" w:line="1" w:lineRule="exact"/>
        <w:rPr>
          <w:rFonts w:ascii="Arial" w:cs="Arial" w:eastAsia="Arial" w:hAnsi="Arial"/>
          <w:sz w:val="14"/>
          <w:szCs w:val="14"/>
          <w:color w:val="auto"/>
        </w:rPr>
      </w:pPr>
    </w:p>
    <w:p>
      <w:pPr>
        <w:ind w:left="180" w:right="240" w:hanging="172"/>
        <w:spacing w:after="0" w:line="241" w:lineRule="auto"/>
        <w:tabs>
          <w:tab w:leader="none" w:pos="1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Income tax benefit of $110.0 million for the fourth quarter of fiscal 2015 consists of an income tax benefit generated by the reduction in the valuation allowance against domestic deferred tax assets which offset the income tax expense from operations (Note 11).</w:t>
      </w:r>
    </w:p>
    <w:p>
      <w:pPr>
        <w:ind w:left="180" w:right="140" w:hanging="172"/>
        <w:spacing w:after="0" w:line="241" w:lineRule="auto"/>
        <w:tabs>
          <w:tab w:leader="none" w:pos="1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the third quarter of fiscal 2016, we issued $450.0 million aggregate principal amount of 6.75% Senior Notes due 2023 and $550.0 million aggregate principal amount of 7.00% Senior Notes due 2025 and recorded interest expense of $6.7 million and 13.9 million (net of capitalized interest), in the third and fourth quarters of fiscal 2016, respectively.</w:t>
      </w:r>
    </w:p>
    <w:p>
      <w:pPr>
        <w:ind w:left="160" w:hanging="152"/>
        <w:spacing w:after="0"/>
        <w:tabs>
          <w:tab w:leader="none" w:pos="1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Income tax expense of $13.8 million for the second quarter of fiscal 2016, includes a discrete period expense of $4.6 million related to reductions to state deferred tax assets (Note 11).</w:t>
      </w:r>
    </w:p>
    <w:p>
      <w:pPr>
        <w:spacing w:after="0" w:line="12" w:lineRule="exact"/>
        <w:rPr>
          <w:rFonts w:ascii="Arial" w:cs="Arial" w:eastAsia="Arial" w:hAnsi="Arial"/>
          <w:sz w:val="13"/>
          <w:szCs w:val="13"/>
          <w:color w:val="auto"/>
        </w:rPr>
      </w:pPr>
    </w:p>
    <w:p>
      <w:pPr>
        <w:ind w:left="180" w:hanging="172"/>
        <w:spacing w:after="0" w:line="255" w:lineRule="auto"/>
        <w:tabs>
          <w:tab w:leader="none" w:pos="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Income tax expense of $21.5 million for the fourth quarter of fiscal 2016, includes a discrete period expense of $16.3 million related to increases in the valuation allowance for state net operating loss and state credit deferred tax assets (Note 11).</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year 2016 was a 53-week fiscal year, with the second quarter of fiscal 2016 having an extra week (14 weeks). Each quarter of fiscal 2015 contained a comparable number of weeks (13 weeks).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130" w:right="3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Qorvo, Inc. and subsidiaries (the Company) as of April 2, 2016 and March 28, 2015, and the related consolidated statements of operations, comprehensive income (loss), stockholders’ equity, and cash flows for each of the years in the two-year period ended April 2,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Qorvo, Inc. and subsidiaries as of April 2, 2016 and March 28, 2015, and the results of their operations and their cash flows for each of the years in the two-year period ended April 2, 2016,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Qorvo, Inc.’s internal control over financial reporting as of April 2,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May 31, 2016 expressed an adverse opinion on the effectiveness of the Company’s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Greensboro,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and Subsidiaries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statements of operations, comprehensive income, stockholders' equity, and cash flows of RF Micro Devices, Inc. and Subsidiaries (or the “Company”) for the fiscal year ended March 29, 2014. These financial statements are the responsibility of the Company's management. Our responsibility is to express an opinion on these financial statements based on our audit.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results of RF Micro Devices, Inc. and Subsidiaries’ operations and their cash flows for the year ended March 29, 2014, in conformity with U.S. generally accepted accounting principles.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effect of the reverse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split described in Note 12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segment presentation in Note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May 27,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Qorvo, Inc.:</w:t>
      </w:r>
    </w:p>
    <w:p>
      <w:pPr>
        <w:spacing w:after="0" w:line="180" w:lineRule="exact"/>
        <w:rPr>
          <w:sz w:val="20"/>
          <w:szCs w:val="20"/>
          <w:color w:val="auto"/>
        </w:rPr>
      </w:pPr>
    </w:p>
    <w:p>
      <w:pPr>
        <w:jc w:val="both"/>
        <w:spacing w:after="0" w:line="194" w:lineRule="exact"/>
        <w:rPr>
          <w:sz w:val="20"/>
          <w:szCs w:val="20"/>
          <w:color w:val="auto"/>
        </w:rPr>
      </w:pPr>
      <w:r>
        <w:rPr>
          <w:rFonts w:ascii="Arial" w:cs="Arial" w:eastAsia="Arial" w:hAnsi="Arial"/>
          <w:sz w:val="14"/>
          <w:szCs w:val="14"/>
          <w:color w:val="auto"/>
        </w:rPr>
        <w:t xml:space="preserve">We have audited Qorvo, Inc.’s internal control over financial reporting as of April 2, 2016, based on criteria established in </w:t>
      </w:r>
      <w:r>
        <w:rPr>
          <w:rFonts w:ascii="Arial" w:cs="Arial" w:eastAsia="Arial" w:hAnsi="Arial"/>
          <w:sz w:val="14"/>
          <w:szCs w:val="14"/>
          <w:i w:val="1"/>
          <w:iCs w:val="1"/>
          <w:color w:val="auto"/>
        </w:rPr>
        <w:t>Internal Control</w:t>
      </w:r>
      <w:r>
        <w:rPr>
          <w:rFonts w:ascii="Arial" w:cs="Arial" w:eastAsia="Arial" w:hAnsi="Arial"/>
          <w:sz w:val="14"/>
          <w:szCs w:val="14"/>
          <w:color w:val="auto"/>
        </w:rPr>
        <w:t xml:space="preserve"> </w:t>
      </w:r>
      <w:r>
        <w:rPr>
          <w:rFonts w:ascii="MS PGothic" w:cs="MS PGothic" w:eastAsia="MS PGothic" w:hAnsi="MS PGothic"/>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Integrated Framework (2013)</w:t>
      </w:r>
      <w:r>
        <w:rPr>
          <w:rFonts w:ascii="Arial" w:cs="Arial" w:eastAsia="Arial" w:hAnsi="Arial"/>
          <w:sz w:val="14"/>
          <w:szCs w:val="14"/>
          <w:color w:val="auto"/>
        </w:rPr>
        <w:t xml:space="preserve"> issued by the Committee of Sponsoring Organizations of the Treadway Commission (COSO). Qorvo, Inc.'s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insufficient complement of knowledgeable tax and accounting personnel; an ineffective risk assessment process to assess the changes in the regulatory environment, the organization and personnel impacting the Company’s financial reporting of income taxes; and ineffective process level controls and monitoring activities over the completeness, existence, accuracy, valuation and presentation of the income tax provision, including deferred tax assets, valuation allowances, and tax uncertainties has been identified and included in management’s assessment. We also have audited, in accordance with the standards of the Public Company Accounting Oversight Board (United States), the consolidated balance sheets of Qorvo, Inc. and subsidiaries as of April 2, 2016 and March 28, 2015, and the related consolidated statements of operations, comprehensive income (loss), stockholders’ equity, and cash flows for each of the years in the two-year period ended April 2, 2016. This material weakness was considered in determining the nature, timing, and extent of audit tests applied in our audit of the 2016 consolidated financial statements, and this report does not affect our report dated May 31, 2016, which expressed an unqualified opinion on those consolidated financial statements.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our opinion, because of the effect of the aforementioned material weakness on the achievement of the objectives of the control criteria, Qorvo, Inc. has not maintained effective internal control over financial reporting as of April 2, 2016,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do not express an opinion or any other form of assurance on management’s statements referring to corrective actions taken after April 2, 2016, relative to the aforementioned material weakness in internal control over financial reporting</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Greensboro, North Carolina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May 31,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ind w:left="5"/>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65" w:hanging="252"/>
        <w:spacing w:after="0"/>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left="5"/>
        <w:spacing w:after="0" w:line="255" w:lineRule="auto"/>
        <w:rPr>
          <w:sz w:val="20"/>
          <w:szCs w:val="20"/>
          <w:color w:val="auto"/>
        </w:rPr>
      </w:pPr>
      <w:r>
        <w:rPr>
          <w:rFonts w:ascii="Arial" w:cs="Arial" w:eastAsia="Arial" w:hAnsi="Arial"/>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189" w:lineRule="exact"/>
        <w:rPr>
          <w:sz w:val="20"/>
          <w:szCs w:val="20"/>
          <w:color w:val="auto"/>
        </w:rPr>
      </w:pPr>
    </w:p>
    <w:p>
      <w:pPr>
        <w:jc w:val="both"/>
        <w:ind w:left="5"/>
        <w:spacing w:after="0" w:line="279" w:lineRule="auto"/>
        <w:rPr>
          <w:sz w:val="20"/>
          <w:szCs w:val="20"/>
          <w:color w:val="auto"/>
        </w:rPr>
      </w:pPr>
      <w:r>
        <w:rPr>
          <w:rFonts w:ascii="Arial" w:cs="Arial" w:eastAsia="Arial" w:hAnsi="Arial"/>
          <w:sz w:val="17"/>
          <w:szCs w:val="17"/>
          <w:color w:val="auto"/>
        </w:rPr>
        <w:t>As of the end of the period covered by this annual report, the Company’s management, including our Chief Executive Officer and the Chief Financial Officer, evaluated the effectiveness of the Company’s disclosure controls and procedures in accordance with Rule 13a-15 under the Exchange Act. Based on this evaluation, the Chief Executive Officer and the Chief Financial Officer concluded that due to a material weakness in our internal control over financial reporting described below, the Company’s disclosure controls and procedures were not effective as of April 2, 2016.</w:t>
      </w:r>
    </w:p>
    <w:p>
      <w:pPr>
        <w:spacing w:after="0" w:line="171" w:lineRule="exact"/>
        <w:rPr>
          <w:sz w:val="20"/>
          <w:szCs w:val="20"/>
          <w:color w:val="auto"/>
        </w:rPr>
      </w:pPr>
    </w:p>
    <w:p>
      <w:pPr>
        <w:jc w:val="both"/>
        <w:ind w:left="5" w:right="20"/>
        <w:spacing w:after="0" w:line="264" w:lineRule="auto"/>
        <w:rPr>
          <w:sz w:val="20"/>
          <w:szCs w:val="20"/>
          <w:color w:val="auto"/>
        </w:rPr>
      </w:pPr>
      <w:r>
        <w:rPr>
          <w:rFonts w:ascii="Arial" w:cs="Arial" w:eastAsia="Arial" w:hAnsi="Arial"/>
          <w:sz w:val="18"/>
          <w:szCs w:val="18"/>
          <w:color w:val="auto"/>
        </w:rPr>
        <w:t>However, giving full consideration to the material weakness, management has concluded that the Consolidated Financial Statements included in this Annual Report on Form 10-K present fairly, in all material respects, the Company’s financial position, results of operations and cash flows for the periods disclosed in conformity with U.S. generally accepted accounting principles.</w:t>
      </w:r>
    </w:p>
    <w:p>
      <w:pPr>
        <w:spacing w:after="0" w:line="181" w:lineRule="exact"/>
        <w:rPr>
          <w:sz w:val="20"/>
          <w:szCs w:val="20"/>
          <w:color w:val="auto"/>
        </w:rPr>
      </w:pPr>
    </w:p>
    <w:p>
      <w:pPr>
        <w:ind w:left="245" w:hanging="245"/>
        <w:spacing w:after="0"/>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Management's assessment of Internal control over financial reporting</w:t>
      </w:r>
    </w:p>
    <w:p>
      <w:pPr>
        <w:spacing w:after="0" w:line="225" w:lineRule="exact"/>
        <w:rPr>
          <w:sz w:val="20"/>
          <w:szCs w:val="20"/>
          <w:color w:val="auto"/>
        </w:rPr>
      </w:pPr>
    </w:p>
    <w:p>
      <w:pPr>
        <w:jc w:val="both"/>
        <w:ind w:left="5"/>
        <w:spacing w:after="0" w:line="288"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169" w:lineRule="exact"/>
        <w:rPr>
          <w:sz w:val="20"/>
          <w:szCs w:val="20"/>
          <w:color w:val="auto"/>
        </w:rPr>
      </w:pPr>
    </w:p>
    <w:p>
      <w:pPr>
        <w:jc w:val="both"/>
        <w:ind w:left="5"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7" w:lineRule="exact"/>
        <w:rPr>
          <w:sz w:val="20"/>
          <w:szCs w:val="20"/>
          <w:color w:val="auto"/>
        </w:rPr>
      </w:pPr>
    </w:p>
    <w:p>
      <w:pPr>
        <w:jc w:val="both"/>
        <w:ind w:left="5"/>
        <w:spacing w:after="0" w:line="255"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April 2, 2016, based on the framework set forth by the Committee of Sponsoring Organizations of the Treadway Commission in Internal Control-Integrated Framework (2013) (“COSO 2013 Framework”). Based on this assessment, management concluded that our internal control over financial reporting as of April 2, 2016 was not effective because the Company did not have a sufficient complement of trained resources with knowledge of the Company’s financial reporting processes and internal control related to accounting for income taxes and therefore did not conduct an effective risk assessment process that evaluated changes in the regulatory environment, the organization and personnel that impacted financial</w:t>
      </w:r>
    </w:p>
    <w:p>
      <w:pPr>
        <w:spacing w:after="0" w:line="22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5"/>
          </w:cols>
          <w:pgMar w:left="235" w:top="130" w:right="239" w:bottom="1440" w:gutter="0" w:footer="0" w:header="0"/>
        </w:sectPr>
      </w:pPr>
    </w:p>
    <w:bookmarkStart w:id="101" w:name="page102"/>
    <w:bookmarkEnd w:id="101"/>
    <w:p>
      <w:pPr>
        <w:jc w:val="both"/>
        <w:ind w:left="5"/>
        <w:spacing w:after="0" w:line="264" w:lineRule="auto"/>
        <w:rPr>
          <w:sz w:val="20"/>
          <w:szCs w:val="20"/>
          <w:color w:val="auto"/>
        </w:rPr>
      </w:pPr>
      <w:r>
        <w:rPr>
          <w:rFonts w:ascii="Arial" w:cs="Arial" w:eastAsia="Arial" w:hAnsi="Arial"/>
          <w:sz w:val="18"/>
          <w:szCs w:val="18"/>
          <w:color w:val="auto"/>
        </w:rPr>
        <w:t>reporting processes and internal controls related to income taxes. As a consequence, the Company did not maintain effective process level controls and monitoring activities over the completeness, existence, accuracy, valuation and presentation of the income tax provision, including deferred tax assets, valuation allowances, and tax uncertainties.</w:t>
      </w:r>
    </w:p>
    <w:p>
      <w:pPr>
        <w:spacing w:after="0" w:line="181" w:lineRule="exact"/>
        <w:rPr>
          <w:sz w:val="20"/>
          <w:szCs w:val="20"/>
          <w:color w:val="auto"/>
        </w:rPr>
      </w:pPr>
    </w:p>
    <w:p>
      <w:pPr>
        <w:jc w:val="both"/>
        <w:ind w:left="5"/>
        <w:spacing w:after="0" w:line="302" w:lineRule="auto"/>
        <w:rPr>
          <w:sz w:val="20"/>
          <w:szCs w:val="20"/>
          <w:color w:val="auto"/>
        </w:rPr>
      </w:pPr>
      <w:r>
        <w:rPr>
          <w:rFonts w:ascii="Arial" w:cs="Arial" w:eastAsia="Arial" w:hAnsi="Arial"/>
          <w:sz w:val="16"/>
          <w:szCs w:val="16"/>
          <w:color w:val="auto"/>
        </w:rPr>
        <w:t>The control deficiencies described above resulted in immaterial misstatements in the preliminary consolidated financial statements as of and for the fiscal year ended April 2, 2016 related to income taxes that were corrected. However, these control deficiencies create a reasonable possibility that a material misstatement to the consolidated financial statements will not be prevented or detected on a timely basis, and therefore we concluded that the deficiencies represent a material weakness in internal control over financial reporting and our internal control over financial reporting is not effective as of April 2, 2016.</w:t>
      </w:r>
    </w:p>
    <w:p>
      <w:pPr>
        <w:spacing w:after="0" w:line="154"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its audit, has issued an adverse opinion on the effectiveness of the Company’s internal control over financial reporting, which is included in this Annual Report on Form 10-K on page 98.</w:t>
      </w:r>
    </w:p>
    <w:p>
      <w:pPr>
        <w:spacing w:after="0" w:line="181" w:lineRule="exact"/>
        <w:rPr>
          <w:sz w:val="20"/>
          <w:szCs w:val="20"/>
          <w:color w:val="auto"/>
        </w:rPr>
      </w:pPr>
    </w:p>
    <w:p>
      <w:pPr>
        <w:ind w:left="245" w:hanging="245"/>
        <w:spacing w:after="0"/>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Except for the material weakness described above, no change in our internal control over financial reporting (as defined in Rules 13a-15(f) and 15d-15(f) under the Exchange Act) occurred during the quarter ended April 2, 2016 that has materially affected, or is reasonably likely to materially affect, our internal control over financial reporting.</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Remediation Plan</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We are actively remediating the identified material weakness, and have identified the following preliminary steps:</w:t>
      </w:r>
    </w:p>
    <w:p>
      <w:pPr>
        <w:spacing w:after="0" w:line="225" w:lineRule="exact"/>
        <w:rPr>
          <w:sz w:val="20"/>
          <w:szCs w:val="20"/>
          <w:color w:val="auto"/>
        </w:rPr>
      </w:pPr>
    </w:p>
    <w:p>
      <w:pPr>
        <w:ind w:left="345" w:right="580" w:hanging="332"/>
        <w:spacing w:after="0" w:line="258" w:lineRule="auto"/>
        <w:tabs>
          <w:tab w:leader="none" w:pos="3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Aggressively recruit to fill open positions existing within the tax department and continue to evaluate the structure of the tax organization and add resources as needed;</w:t>
      </w:r>
    </w:p>
    <w:p>
      <w:pPr>
        <w:spacing w:after="0" w:line="1" w:lineRule="exact"/>
        <w:rPr>
          <w:rFonts w:ascii="Arial" w:cs="Arial" w:eastAsia="Arial" w:hAnsi="Arial"/>
          <w:sz w:val="18"/>
          <w:szCs w:val="18"/>
          <w:color w:val="auto"/>
        </w:rPr>
      </w:pPr>
    </w:p>
    <w:p>
      <w:pPr>
        <w:ind w:left="345" w:right="200" w:hanging="332"/>
        <w:spacing w:after="0" w:line="250" w:lineRule="auto"/>
        <w:tabs>
          <w:tab w:leader="none" w:pos="3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Move to a single income tax provision model in conjunction with Qorvo moving from its two separate ERP systems to a single integrated ERP system; and</w:t>
      </w:r>
    </w:p>
    <w:p>
      <w:pPr>
        <w:ind w:left="345" w:right="180" w:hanging="332"/>
        <w:spacing w:after="0" w:line="261" w:lineRule="auto"/>
        <w:tabs>
          <w:tab w:leader="none" w:pos="3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a qualified outside party to conduct a review and assessment of the tax provision process to determine what, if any, additional actions should be undertaken to address the control deficiencies.</w:t>
      </w:r>
    </w:p>
    <w:p>
      <w:pPr>
        <w:spacing w:after="0" w:line="18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5" w:right="2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2016 Annual Meeting of Stockholders under the captions "Corporate Governance," "Executive Officers," "Proposal 1 - Election of Directors" and "Section 16(a) Beneficial Ownership Reporting Compliance," and the information therein is incorporated herein by reference.</w:t>
      </w:r>
    </w:p>
    <w:p>
      <w:pPr>
        <w:spacing w:after="0" w:line="181" w:lineRule="exact"/>
        <w:rPr>
          <w:sz w:val="20"/>
          <w:szCs w:val="20"/>
          <w:color w:val="auto"/>
        </w:rPr>
      </w:pPr>
    </w:p>
    <w:p>
      <w:pPr>
        <w:ind w:left="5" w:right="60"/>
        <w:spacing w:after="0" w:line="257" w:lineRule="auto"/>
        <w:rPr>
          <w:sz w:val="20"/>
          <w:szCs w:val="20"/>
          <w:color w:val="auto"/>
        </w:rPr>
      </w:pPr>
      <w:r>
        <w:rPr>
          <w:rFonts w:ascii="Arial" w:cs="Arial" w:eastAsia="Arial" w:hAnsi="Arial"/>
          <w:sz w:val="18"/>
          <w:szCs w:val="18"/>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SEC rules or NASDAQ listing standards, we intend to disclose such amendment on our website. Any waiver of the Code of Business Conduct and Ethics for any executive officer or director must be approved by the Board and will be promptly disclosed, along with the reasons for the waiver, as required by applicable law or NASDAQ rules.</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11. EXECUTIVE COMPENSATION.</w:t>
      </w:r>
    </w:p>
    <w:p>
      <w:pPr>
        <w:sectPr>
          <w:pgSz w:w="11900" w:h="16838" w:orient="portrait"/>
          <w:cols w:equalWidth="0" w:num="1">
            <w:col w:w="11425"/>
          </w:cols>
          <w:pgMar w:left="235" w:top="368" w:right="2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required by this Item may be found in our definitive proxy statement for our 2016 Annual Meeting of Stockholders under the captions "Executive Compensation" and "Compensation Committee Interlocks and Insider Participation," and the information therein is incorporated herein by reference.</w:t>
      </w:r>
    </w:p>
    <w:p>
      <w:pPr>
        <w:spacing w:after="0" w:line="120"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2016 Annual Meeting of Stockholders under the captions "Security Ownership of Certain Beneficial Owners and Management" and "Equity Compensation Plan Information," and the information therein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required by this Item may be found in our definitive proxy statement for our 2016 Annual Meeting of Stockholders under the captions "Related Person Transactions" and "Corporate Governance," and the information therein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30" w:right="25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2016 Annual Meeting of Stockholders under the captions “Proposal 4 - Ratification of Appointment of Independent Registered Public Accounting Firm” and “Corporate Governance,” and the information therein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Balance Sheets as of April 2, 2016 and March 28, 2015.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Operations for fiscal years 2016, 2015 and 2014.</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fiscal years 2016, 2015 and 2014.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fiscal years 2016, 2015 and 2014.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Cash Flows for fiscal years 2016, 2015 and 2014.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225" w:lineRule="exact"/>
        <w:rPr>
          <w:sz w:val="20"/>
          <w:szCs w:val="20"/>
          <w:color w:val="auto"/>
        </w:rPr>
      </w:pPr>
    </w:p>
    <w:p>
      <w:pPr>
        <w:ind w:left="340" w:right="140" w:hanging="8"/>
        <w:spacing w:after="0" w:line="277" w:lineRule="auto"/>
        <w:tabs>
          <w:tab w:leader="none" w:pos="7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exhibits listed in the accompanying Exhibit Index are filed as a part of this Annual Report on Form 10-K.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Exhibit Index.</w:t>
      </w:r>
    </w:p>
    <w:p>
      <w:pPr>
        <w:spacing w:after="0" w:line="211" w:lineRule="exact"/>
        <w:rPr>
          <w:sz w:val="20"/>
          <w:szCs w:val="20"/>
          <w:color w:val="auto"/>
        </w:rPr>
      </w:pPr>
    </w:p>
    <w:p>
      <w:pPr>
        <w:ind w:left="340" w:right="7880" w:hanging="332"/>
        <w:spacing w:after="0" w:line="277"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Separate Financial Statements and Schedules. None.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30" w:right="23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70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31, 2016</w:t>
      </w:r>
      <w:r>
        <w:rPr>
          <w:sz w:val="20"/>
          <w:szCs w:val="20"/>
          <w:color w:val="auto"/>
        </w:rPr>
        <w:tab/>
      </w:r>
      <w:r>
        <w:rPr>
          <w:rFonts w:ascii="Arial" w:cs="Arial" w:eastAsia="Arial" w:hAnsi="Arial"/>
          <w:sz w:val="16"/>
          <w:szCs w:val="16"/>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18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Robert A. Bruggeworth</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Robert A. Bruggeworth and Steven J. Buhaly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240" w:top="130" w:right="31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May 31, 2016.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/s/ Robert A. Bruggeworth</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Robert A. Bruggeworth</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Steven J. Buhaly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Steven J. Buhaly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and Secretary</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Gina B. Harrison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Gina B. Harrison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Ralph G. Quinsey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Ralph G. Quinsey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Daniel A. DiLeo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Daniel A. DiLeo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Jeffery R. Gardner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Jeffery R. Gardner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Charles Scott Gibson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Charles Scott Gibson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John R. Harding</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John R. Harding</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David H.Y. Ho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David H.Y. Ho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Roderick D. Nelson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Roderick D. Nelson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Dr. Walden C. Rhines</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Dr. Walden C. Rhines</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Walter H. Wilkinson, Jr.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Walter H. Wilkinson, Jr.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30"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260" w:type="dxa"/>
            <w:vAlign w:val="bottom"/>
            <w:gridSpan w:val="4"/>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Table of Contents</w:t>
              </w:r>
            </w:hyperlink>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740" w:type="dxa"/>
            <w:vAlign w:val="bottom"/>
          </w:tcPr>
          <w:p>
            <w:pPr>
              <w:spacing w:after="0"/>
              <w:rPr>
                <w:sz w:val="16"/>
                <w:szCs w:val="16"/>
                <w:color w:val="auto"/>
              </w:rPr>
            </w:pPr>
          </w:p>
        </w:tc>
      </w:tr>
      <w:tr>
        <w:trPr>
          <w:trHeight w:val="628"/>
        </w:trPr>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40" w:type="dxa"/>
            <w:vAlign w:val="bottom"/>
          </w:tcPr>
          <w:p>
            <w:pPr>
              <w:ind w:left="3240"/>
              <w:spacing w:after="0"/>
              <w:rPr>
                <w:sz w:val="20"/>
                <w:szCs w:val="20"/>
                <w:color w:val="auto"/>
              </w:rPr>
            </w:pPr>
            <w:r>
              <w:rPr>
                <w:rFonts w:ascii="Arial" w:cs="Arial" w:eastAsia="Arial" w:hAnsi="Arial"/>
                <w:sz w:val="18"/>
                <w:szCs w:val="18"/>
                <w:b w:val="1"/>
                <w:bCs w:val="1"/>
                <w:color w:val="auto"/>
              </w:rPr>
              <w:t>EXHIBIT INDEX</w:t>
            </w:r>
          </w:p>
        </w:tc>
      </w:tr>
      <w:tr>
        <w:trPr>
          <w:trHeight w:val="252"/>
        </w:trPr>
        <w:tc>
          <w:tcPr>
            <w:tcW w:w="1260" w:type="dxa"/>
            <w:vAlign w:val="bottom"/>
            <w:gridSpan w:val="4"/>
          </w:tcPr>
          <w:p>
            <w:pPr>
              <w:ind w:left="4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740" w:type="dxa"/>
            <w:vAlign w:val="bottom"/>
          </w:tcPr>
          <w:p>
            <w:pPr>
              <w:spacing w:after="0"/>
              <w:rPr>
                <w:sz w:val="21"/>
                <w:szCs w:val="21"/>
                <w:color w:val="auto"/>
              </w:rPr>
            </w:pPr>
          </w:p>
        </w:tc>
      </w:tr>
      <w:tr>
        <w:trPr>
          <w:trHeight w:val="194"/>
        </w:trPr>
        <w:tc>
          <w:tcPr>
            <w:tcW w:w="400" w:type="dxa"/>
            <w:vAlign w:val="bottom"/>
          </w:tcPr>
          <w:p>
            <w:pPr>
              <w:spacing w:after="0"/>
              <w:rPr>
                <w:sz w:val="16"/>
                <w:szCs w:val="16"/>
                <w:color w:val="auto"/>
              </w:rPr>
            </w:pPr>
          </w:p>
        </w:tc>
        <w:tc>
          <w:tcPr>
            <w:tcW w:w="860" w:type="dxa"/>
            <w:vAlign w:val="bottom"/>
            <w:gridSpan w:val="3"/>
          </w:tcPr>
          <w:p>
            <w:pPr>
              <w:ind w:left="100"/>
              <w:spacing w:after="0" w:line="174" w:lineRule="exact"/>
              <w:rPr>
                <w:sz w:val="20"/>
                <w:szCs w:val="20"/>
                <w:color w:val="auto"/>
              </w:rPr>
            </w:pPr>
            <w:r>
              <w:rPr>
                <w:rFonts w:ascii="Arial" w:cs="Arial" w:eastAsia="Arial" w:hAnsi="Arial"/>
                <w:sz w:val="18"/>
                <w:szCs w:val="18"/>
                <w:b w:val="1"/>
                <w:bCs w:val="1"/>
                <w:color w:val="auto"/>
              </w:rPr>
              <w:t>No.</w:t>
            </w:r>
          </w:p>
        </w:tc>
        <w:tc>
          <w:tcPr>
            <w:tcW w:w="9740" w:type="dxa"/>
            <w:vAlign w:val="bottom"/>
            <w:gridSpan w:val="3"/>
          </w:tcPr>
          <w:p>
            <w:pPr>
              <w:ind w:left="120"/>
              <w:spacing w:after="0" w:line="174" w:lineRule="exact"/>
              <w:rPr>
                <w:sz w:val="20"/>
                <w:szCs w:val="20"/>
                <w:color w:val="auto"/>
              </w:rPr>
            </w:pPr>
            <w:r>
              <w:rPr>
                <w:rFonts w:ascii="Arial" w:cs="Arial" w:eastAsia="Arial" w:hAnsi="Arial"/>
                <w:sz w:val="18"/>
                <w:szCs w:val="18"/>
                <w:b w:val="1"/>
                <w:bCs w:val="1"/>
                <w:color w:val="auto"/>
              </w:rPr>
              <w:t>Description</w:t>
            </w:r>
          </w:p>
        </w:tc>
      </w:tr>
      <w:tr>
        <w:trPr>
          <w:trHeight w:val="27"/>
        </w:trPr>
        <w:tc>
          <w:tcPr>
            <w:tcW w:w="7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740" w:type="dxa"/>
            <w:vAlign w:val="bottom"/>
          </w:tcPr>
          <w:p>
            <w:pPr>
              <w:spacing w:after="0"/>
              <w:rPr>
                <w:sz w:val="2"/>
                <w:szCs w:val="2"/>
                <w:color w:val="auto"/>
              </w:rPr>
            </w:pPr>
          </w:p>
        </w:tc>
      </w:tr>
      <w:tr>
        <w:trPr>
          <w:trHeight w:val="283"/>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Agreement and Plan of Merger and Reorganization dated February 22, 2014, by and among TriQuint Semiconductor, Inc., RF Micro</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Devices, Inc. and Rocky Holding, Inc. (incorporated by reference to Exhibit 2.1 to Amendment No. 3 to the Company’s Registration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Statement on Form S-4 filed with the SEC on July 21, 2014 (File No. 333-195236))</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First Amendment to Agreement and Plan of Merger and Reorganization, dated July 15, 2014, by and among RF Micro Devices, Inc.,</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9"/>
              </w:rPr>
              <w:t>TriQuint Semiconductor, Inc. and Rocky Holding, Inc. (incorporated by reference to Exhibit 2.2 to Amendment No. 3 to the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S-4 filed with the SEC on July 21, 2014 (File No. 333-195236))</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3"/>
              </w:rPr>
              <w:t>Contingent Acquisition Implementation Deed by and among TriQuint Semiconductor, Inc., Cavendish Kinetics Limited and Certain</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0"/>
              </w:rPr>
              <w:t>Cavendish Shareholders, dated as of August 4, 2015 (incorporated by reference to Exhibit 2.1 to the Company's Quarterly Report on</w:t>
            </w:r>
          </w:p>
        </w:tc>
      </w:tr>
      <w:tr>
        <w:trPr>
          <w:trHeight w:val="329"/>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Form 10-Q/A filed with the SEC on April 26, 2016)</w:t>
            </w:r>
            <w:r>
              <w:rPr>
                <w:rFonts w:ascii="Arial" w:cs="Arial" w:eastAsia="Arial" w:hAnsi="Arial"/>
                <w:sz w:val="25"/>
                <w:szCs w:val="25"/>
                <w:color w:val="auto"/>
                <w:vertAlign w:val="superscript"/>
              </w:rPr>
              <w:t>+</w:t>
            </w:r>
          </w:p>
        </w:tc>
      </w:tr>
      <w:tr>
        <w:trPr>
          <w:trHeight w:val="373"/>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Certificate of Incorporation of Qorvo, Inc., as amended (incorporated by reference to Exhibit 3.1 to the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Company’s Quarterly Report on Form 10-Q filed with the SEC on November 12, 2015)</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Bylaws of Qorvo, Inc., effective as of May 13, 2016 (incorporated by reference to Exhibit 3.1 to the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Company's Current Report on Form 8-K filed with the SEC on May 19, 2016)</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Specimen Certificate of Common Stock of Qorvo, Inc. (incorporated by reference to Exhibit 4.1 to the Company's Annual Report on</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Form 10-K filed with the SEC on May 27, 2015)</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6"/>
              </w:rPr>
              <w:t>Indenture, dated as of November 19, 2015, among Qorvo, Inc., the Guarantors party thereto and MUFG Union Bank, N.A., as</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Trustee (incorporated by reference to Exhibit 4.1 to the Company's Current Report on Form 8-K filed with the SEC on November 19,</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8740" w:type="dxa"/>
            <w:vAlign w:val="bottom"/>
          </w:tcPr>
          <w:p>
            <w:pPr>
              <w:spacing w:after="0"/>
              <w:rPr>
                <w:sz w:val="20"/>
                <w:szCs w:val="20"/>
                <w:color w:val="auto"/>
              </w:rPr>
            </w:pP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5"/>
              </w:rPr>
              <w:t>Registration Rights Agreement, dated as of November 19, 2015, by and among Qorvo, Inc., the Guarantors named therein and</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Merrill Lynch, Pierce, Fenner &amp; Smith Incorporated, as representative of the several Initial Purchasers named therein (incorporated</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4.2 to the Company's Current Report on Form 8-K filed with the SEC on November 19, 2015)</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Qorvo, Inc. 2007 Employee Stock Purchase Plan (As Assumed and Amended by Qorvo, Inc.) (incorporated by reference to Exhibit</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10.1 to the Company’s Annual Report on Form 10-K filed with the SEC on May 27, 2015)*</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7"/>
              </w:rPr>
              <w:t>Qorvo, Inc. 2013 Incentive Plan (As Assumed and Amended by Qorvo, Inc.) (incorporated by reference to Exhibit 99.2 to the</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S-8 filed with the SEC on January 5, 2015 (File No. 333-201357))*</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9"/>
              </w:rPr>
              <w:t>Qorvo, Inc. 2012 Incentive Plan (As Assumed by Qorvo, Inc.) (incorporated by reference to Exhibit 99.3 to the Company’s</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9"/>
              </w:rPr>
              <w:t>Qorvo, Inc. 2009 Incentive Plan (As Assumed by Qorvo, Inc.) (incorporated by reference to Exhibit 99.4 to the Company’s</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472"/>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3"/>
              </w:rPr>
              <w:t>Qorvo, Inc. 2008 Inducement Program (As Assumed by Qorvo, Inc.) (incorporated by reference to Exhibit 99.5 to the Company’s</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Qorvo, Inc. 1996 Stock Incentive Program (As Assumed by Qorvo, Inc.) (incorporated by reference to Exhibit 99.6 to the Company’s</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10.7</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8"/>
              </w:rPr>
              <w:t>Qorvo, Inc. 2012 Stock Incentive Plan (As Assumed by Qorvo, Inc. and Amended and Restated Effective January 1, 2015)</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3"/>
              </w:rPr>
              <w:t>(incorporated by reference to Exhibit 99.1 to the Company’s Registration Statement on Form S-8 filed with the SEC on January 5,</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2015 (File No. 333-201358))*</w:t>
            </w: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10.8</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4"/>
              </w:rPr>
              <w:t>2003 Stock Incentive Plan of Qorvo, Inc. (As Assumed and Amended by Qorvo, Inc. Effective January 1, 2015) (incorporated by</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1"/>
              </w:rPr>
              <w:t>reference to Exhibit 99.2 to the Company’s Registration Statement on Form S-8 filed with the SEC on January 5, 2015 (File No. 333-</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201358))*</w:t>
            </w:r>
          </w:p>
        </w:tc>
        <w:tc>
          <w:tcPr>
            <w:tcW w:w="8740" w:type="dxa"/>
            <w:vAlign w:val="bottom"/>
          </w:tcPr>
          <w:p>
            <w:pPr>
              <w:spacing w:after="0"/>
              <w:rPr>
                <w:sz w:val="20"/>
                <w:szCs w:val="20"/>
                <w:color w:val="auto"/>
              </w:rPr>
            </w:pPr>
          </w:p>
        </w:tc>
      </w:tr>
      <w:tr>
        <w:trPr>
          <w:trHeight w:val="256"/>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10.9</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3"/>
              </w:rPr>
              <w:t>Qorvo, Inc. 2006 Directors Stock Option Plan (As Assumed by Qorvo, Inc. and Amended Effective January 1, 2015) (incorporated</w:t>
            </w:r>
          </w:p>
        </w:tc>
      </w:tr>
      <w:tr>
        <w:trPr>
          <w:trHeight w:val="216"/>
        </w:trPr>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w w:val="92"/>
              </w:rPr>
              <w:t>by reference to Exhibit 99.3 to the Company’s Registration Statement on Form S-8 filed with the SEC on January 5, 2015 (File No.</w:t>
            </w:r>
          </w:p>
        </w:tc>
      </w:tr>
      <w:tr>
        <w:trPr>
          <w:trHeight w:val="230"/>
        </w:trPr>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gridSpan w:val="3"/>
          </w:tcPr>
          <w:p>
            <w:pPr>
              <w:ind w:left="120"/>
              <w:spacing w:after="0"/>
              <w:rPr>
                <w:sz w:val="20"/>
                <w:szCs w:val="20"/>
                <w:color w:val="auto"/>
              </w:rPr>
            </w:pPr>
            <w:r>
              <w:rPr>
                <w:rFonts w:ascii="Arial" w:cs="Arial" w:eastAsia="Arial" w:hAnsi="Arial"/>
                <w:sz w:val="18"/>
                <w:szCs w:val="18"/>
                <w:color w:val="auto"/>
              </w:rPr>
              <w:t>333-201358))*</w:t>
            </w:r>
          </w:p>
        </w:tc>
      </w:tr>
    </w:tbl>
    <w:p>
      <w:pPr>
        <w:spacing w:after="0" w:line="200" w:lineRule="exact"/>
        <w:rPr>
          <w:sz w:val="20"/>
          <w:szCs w:val="20"/>
          <w:color w:val="auto"/>
        </w:rPr>
      </w:pPr>
    </w:p>
    <w:p>
      <w:pPr>
        <w:sectPr>
          <w:pgSz w:w="11900" w:h="16838" w:orient="portrait"/>
          <w:cols w:equalWidth="0" w:num="1">
            <w:col w:w="11000"/>
          </w:cols>
          <w:pgMar w:left="240" w:top="118" w:right="659" w:bottom="1440" w:gutter="0" w:footer="0" w:header="0"/>
        </w:sectPr>
      </w:pP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000"/>
          </w:cols>
          <w:pgMar w:left="240" w:top="118" w:right="659" w:bottom="1440" w:gutter="0" w:footer="0" w:header="0"/>
          <w:type w:val="continuous"/>
        </w:sectPr>
      </w:pPr>
    </w:p>
    <w:bookmarkStart w:id="107" w:name="page108"/>
    <w:bookmarkEnd w:id="10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1380" w:right="240" w:hanging="971"/>
        <w:spacing w:after="0" w:line="264" w:lineRule="auto"/>
        <w:tabs>
          <w:tab w:leader="none" w:pos="13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Nonemployee Directors’ Stock Option Plan of Qorvo, Inc. (As Assumed by Qorvo, Inc. and Amended Effective January 1, 2015) (incorporated by reference to Exhibit 99.4 to the Company’s Registration Statement on Form S-8 filed with the SEC on January 5, 2015 (File No. 333-201358))*</w:t>
      </w:r>
    </w:p>
    <w:p>
      <w:pPr>
        <w:spacing w:after="0" w:line="19" w:lineRule="exact"/>
        <w:rPr>
          <w:sz w:val="20"/>
          <w:szCs w:val="20"/>
          <w:color w:val="auto"/>
        </w:rPr>
      </w:pPr>
    </w:p>
    <w:p>
      <w:pPr>
        <w:ind w:left="1380" w:right="380" w:hanging="971"/>
        <w:spacing w:after="0" w:line="277" w:lineRule="auto"/>
        <w:tabs>
          <w:tab w:leader="none" w:pos="13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Qorvo, Inc. 2015 Inducement Stock Plan (incorporated by reference to Exhibit 99.5 to the Company’s Registration Statement on Form S-8 filed with the SEC on January 5, 2015 (File No. 333-201358))*</w:t>
      </w:r>
    </w:p>
    <w:p>
      <w:pPr>
        <w:spacing w:after="0" w:line="8" w:lineRule="exact"/>
        <w:rPr>
          <w:sz w:val="20"/>
          <w:szCs w:val="20"/>
          <w:color w:val="auto"/>
        </w:rPr>
      </w:pPr>
    </w:p>
    <w:p>
      <w:pPr>
        <w:ind w:left="1380" w:right="380" w:hanging="971"/>
        <w:spacing w:after="0" w:line="277" w:lineRule="auto"/>
        <w:tabs>
          <w:tab w:leader="none" w:pos="13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Qorvo, Inc. Form of Indemnification Agreement (incorporated by reference to Exhibit 10.1 to the Company’s Current Report on Form 8-K filed with the SEC on January 5, 2015)*</w:t>
      </w:r>
    </w:p>
    <w:p>
      <w:pPr>
        <w:spacing w:after="0" w:line="8" w:lineRule="exact"/>
        <w:rPr>
          <w:sz w:val="20"/>
          <w:szCs w:val="20"/>
          <w:color w:val="auto"/>
        </w:rPr>
      </w:pPr>
    </w:p>
    <w:p>
      <w:pPr>
        <w:ind w:left="1380" w:right="200" w:hanging="971"/>
        <w:spacing w:after="0" w:line="277" w:lineRule="auto"/>
        <w:tabs>
          <w:tab w:leader="none" w:pos="13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Qorvo, Inc. Form of Change in Control Agreement (incorporated by reference to Exhibit 10.1 to the Company’s Current Report on Form 8-K filed with the SEC on February 10, 2015)*</w:t>
      </w:r>
    </w:p>
    <w:p>
      <w:pPr>
        <w:spacing w:after="0" w:line="8" w:lineRule="exact"/>
        <w:rPr>
          <w:sz w:val="20"/>
          <w:szCs w:val="20"/>
          <w:color w:val="auto"/>
        </w:rPr>
      </w:pPr>
    </w:p>
    <w:p>
      <w:pPr>
        <w:ind w:left="400"/>
        <w:spacing w:after="0"/>
        <w:tabs>
          <w:tab w:leader="none" w:pos="13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Qorvo, Inc. Director Compensation Program (incorporated by reference to Exhibit 10.14 to the Company’s Annual Report on Form</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10-K filed with the SEC on May 27, 2015)*</w:t>
      </w:r>
    </w:p>
    <w:p>
      <w:pPr>
        <w:spacing w:after="0" w:line="265" w:lineRule="exact"/>
        <w:rPr>
          <w:sz w:val="20"/>
          <w:szCs w:val="20"/>
          <w:color w:val="auto"/>
        </w:rPr>
      </w:pPr>
    </w:p>
    <w:p>
      <w:pPr>
        <w:ind w:left="1380" w:right="200" w:hanging="971"/>
        <w:spacing w:after="0" w:line="342" w:lineRule="auto"/>
        <w:tabs>
          <w:tab w:leader="none" w:pos="13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Qorvo, Inc. Nonqualified Deferred Compensation Plan (As Assumed and Amended and Restated Effective January 1, 2015) (incorporated by reference to Exhibit 10.15 to the Company’s Annual Report on Form 10-K filed with the SEC on May 27, 2015)*</w:t>
      </w:r>
    </w:p>
    <w:p>
      <w:pPr>
        <w:spacing w:after="0" w:line="178" w:lineRule="exact"/>
        <w:rPr>
          <w:sz w:val="20"/>
          <w:szCs w:val="20"/>
          <w:color w:val="auto"/>
        </w:rPr>
      </w:pPr>
    </w:p>
    <w:p>
      <w:pPr>
        <w:ind w:left="1380" w:right="400" w:hanging="971"/>
        <w:spacing w:after="0" w:line="277" w:lineRule="auto"/>
        <w:tabs>
          <w:tab w:leader="none" w:pos="13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Qorvo, Inc. Cash Bonus Plan (As Assumed and Amended and Restated Effective January 1, 2015) (incorporated by reference to Exhibit 10.16 to the Company’s Annual Report on Form 10-K filed with the SEC on May 27, 2015)*</w:t>
      </w:r>
    </w:p>
    <w:p>
      <w:pPr>
        <w:spacing w:after="0" w:line="224" w:lineRule="exact"/>
        <w:rPr>
          <w:sz w:val="20"/>
          <w:szCs w:val="20"/>
          <w:color w:val="auto"/>
        </w:rPr>
      </w:pPr>
    </w:p>
    <w:p>
      <w:pPr>
        <w:jc w:val="both"/>
        <w:ind w:left="1380" w:hanging="971"/>
        <w:spacing w:after="0" w:line="264" w:lineRule="auto"/>
        <w:tabs>
          <w:tab w:leader="none" w:pos="13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dated as of November 12, 2008, between RF Micro Devices, Inc. and Robert A. Bruggeworth (As Assumed by Qorvo, Inc.) (incorporated by reference to Exhibit 10.1 to RFMD’s Current Report on Form 8-K filed with the SEC on November 14, 2008 (File No. 000-22511))*</w:t>
      </w:r>
    </w:p>
    <w:p>
      <w:pPr>
        <w:spacing w:after="0" w:line="235" w:lineRule="exact"/>
        <w:rPr>
          <w:sz w:val="20"/>
          <w:szCs w:val="20"/>
          <w:color w:val="auto"/>
        </w:rPr>
      </w:pPr>
    </w:p>
    <w:p>
      <w:pPr>
        <w:ind w:left="1380" w:right="760" w:hanging="971"/>
        <w:spacing w:after="0" w:line="317" w:lineRule="auto"/>
        <w:tabs>
          <w:tab w:leader="none" w:pos="13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Wafer Supply Agreement, dated June 9, 2012, between RF Micro Devices, Inc. and IQE, Inc. (incorporated by reference to Exhibit 10.1 to RFMD’s Quarterly Report on Form 10-Q/A filed with the SEC on January 3, 2013 (File No. 000-22511))</w:t>
      </w:r>
    </w:p>
    <w:p>
      <w:pPr>
        <w:ind w:left="1380" w:right="300" w:hanging="971"/>
        <w:spacing w:after="0" w:line="286" w:lineRule="auto"/>
        <w:tabs>
          <w:tab w:leader="none" w:pos="13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Credit Agreement, dated as of April 7, 2015, by and between Qorvo, Inc., certain of its material domestic subsidiaries, Bank of America, N.A., as administrative agent, swing line lender and L/C issuer, and a syndicate of lenders (incorporated by reference to Exhibit 10.1 to the Company’s Current Report on Form 8-K filed with the SEC on April 9, 2015)</w:t>
      </w:r>
    </w:p>
    <w:p>
      <w:pPr>
        <w:spacing w:after="0" w:line="3" w:lineRule="exact"/>
        <w:rPr>
          <w:sz w:val="20"/>
          <w:szCs w:val="20"/>
          <w:color w:val="auto"/>
        </w:rPr>
      </w:pPr>
    </w:p>
    <w:p>
      <w:pPr>
        <w:ind w:left="1380" w:right="540" w:hanging="971"/>
        <w:spacing w:after="0" w:line="312" w:lineRule="auto"/>
        <w:tabs>
          <w:tab w:leader="none" w:pos="13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First Amendment to Credit Agreement, dated as of June 5, 2015, by and between Qorvo, Inc., certain of its material domestic subsidiaries, Bank of America, N.A., as administrative agent, swing line lender and L/C issuer, and a syndicate of lenders (incorporated by reference to Exhibit 10.1 to the Company’s Current Report on Form 8-K filed with the SEC on June 5, 2015)</w:t>
      </w:r>
    </w:p>
    <w:p>
      <w:pPr>
        <w:spacing w:after="0" w:line="200" w:lineRule="exact"/>
        <w:rPr>
          <w:sz w:val="20"/>
          <w:szCs w:val="20"/>
          <w:color w:val="auto"/>
        </w:rPr>
      </w:pPr>
    </w:p>
    <w:p>
      <w:pPr>
        <w:spacing w:after="0" w:line="217" w:lineRule="exact"/>
        <w:rPr>
          <w:sz w:val="20"/>
          <w:szCs w:val="20"/>
          <w:color w:val="auto"/>
        </w:rPr>
      </w:pPr>
    </w:p>
    <w:p>
      <w:pPr>
        <w:ind w:left="1380" w:right="40" w:hanging="971"/>
        <w:spacing w:after="0" w:line="277" w:lineRule="auto"/>
        <w:tabs>
          <w:tab w:leader="none" w:pos="13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Stock Option Agreement (Senior Officers) pursuant to the Qorvo, Inc. 2012 Stock Incentive Plan (incorporated by reference to Exhibit 10.3 to the Company’s Quarterly Report on Form 10-Q filed with the SEC on August 5, 2015)*</w:t>
      </w:r>
    </w:p>
    <w:p>
      <w:pPr>
        <w:spacing w:after="0" w:line="8" w:lineRule="exact"/>
        <w:rPr>
          <w:sz w:val="20"/>
          <w:szCs w:val="20"/>
          <w:color w:val="auto"/>
        </w:rPr>
      </w:pPr>
    </w:p>
    <w:p>
      <w:pPr>
        <w:ind w:left="1380" w:right="240" w:hanging="971"/>
        <w:spacing w:after="0" w:line="264" w:lineRule="auto"/>
        <w:tabs>
          <w:tab w:leader="none" w:pos="13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Restricted Stock Unit Agreement (Service-Based Award for Senior Officers) pursuant to the Qorvo, Inc. 2012 Stock Incentive Plan (incorporated by reference to Exhibit 10.4 to the Company’s Quarterly Report on Form 10-Q filed with the SEC on August 5, 2015)*</w:t>
      </w:r>
    </w:p>
    <w:p>
      <w:pPr>
        <w:spacing w:after="0" w:line="19" w:lineRule="exact"/>
        <w:rPr>
          <w:sz w:val="20"/>
          <w:szCs w:val="20"/>
          <w:color w:val="auto"/>
        </w:rPr>
      </w:pPr>
    </w:p>
    <w:p>
      <w:pPr>
        <w:ind w:left="1380" w:right="60" w:hanging="971"/>
        <w:spacing w:after="0" w:line="264" w:lineRule="auto"/>
        <w:tabs>
          <w:tab w:leader="none" w:pos="13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Restricted Stock Unit Agreement (Performance-Based and Service Based Award for Senior Officers) pursuant to the Qorvo, Inc. 2012 Stock Incentive Plan (incorporated by reference to Exhibit 10.5 to the Company’s Quarterly Report on Form 10-Q filed with the SEC on August 5, 2015)*</w:t>
      </w:r>
    </w:p>
    <w:p>
      <w:pPr>
        <w:spacing w:after="0" w:line="19" w:lineRule="exact"/>
        <w:rPr>
          <w:sz w:val="20"/>
          <w:szCs w:val="20"/>
          <w:color w:val="auto"/>
        </w:rPr>
      </w:pPr>
    </w:p>
    <w:p>
      <w:pPr>
        <w:ind w:left="1380" w:right="20" w:hanging="971"/>
        <w:spacing w:after="0" w:line="264" w:lineRule="auto"/>
        <w:tabs>
          <w:tab w:leader="none" w:pos="13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Restricted Stock Unit Agreement (Performance-Based Award for Senior Officers (TSR)) pursuant to the Qorvo, Inc. 2012 Stock Incentive Plan (incorporated by reference to Exhibit 10.6 to the Company’s Quarterly Report on Form 10-Q filed with the SEC on August 5, 2015)*</w:t>
      </w:r>
    </w:p>
    <w:p>
      <w:pPr>
        <w:spacing w:after="0" w:line="19" w:lineRule="exact"/>
        <w:rPr>
          <w:sz w:val="20"/>
          <w:szCs w:val="20"/>
          <w:color w:val="auto"/>
        </w:rPr>
      </w:pPr>
    </w:p>
    <w:p>
      <w:pPr>
        <w:ind w:left="1380" w:right="320" w:hanging="971"/>
        <w:spacing w:after="0" w:line="277" w:lineRule="auto"/>
        <w:tabs>
          <w:tab w:leader="none" w:pos="13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Qorvo, Inc. Severance Benefits Plan and Summary Plan Description (incorporated by reference to Exhibit 10.8 to the Company’s Quarterly Report on Form 10-Q filed with the SEC on August 5, 2015)*</w:t>
      </w:r>
    </w:p>
    <w:p>
      <w:pPr>
        <w:spacing w:after="0" w:line="8" w:lineRule="exact"/>
        <w:rPr>
          <w:sz w:val="20"/>
          <w:szCs w:val="20"/>
          <w:color w:val="auto"/>
        </w:rPr>
      </w:pPr>
    </w:p>
    <w:p>
      <w:pPr>
        <w:ind w:left="1380" w:right="220" w:hanging="971"/>
        <w:spacing w:after="0" w:line="259" w:lineRule="auto"/>
        <w:tabs>
          <w:tab w:leader="none" w:pos="13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Second Amendment to Credit Agreement, dated as of November 12, 2015, by and between Qorvo, Inc., certain of its material domestic subsidiaries, Bank of America, N.A. as administrative agent, swing line lender and L/C issuer, and a syndicate of lenders (incorporated by reference to Exhibit 10.1 to the Company’s Current Report on Form 8-K filed with the SEC on November 13, 2015).</w:t>
      </w:r>
    </w:p>
    <w:p>
      <w:pPr>
        <w:spacing w:after="0" w:line="25" w:lineRule="exact"/>
        <w:rPr>
          <w:sz w:val="20"/>
          <w:szCs w:val="20"/>
          <w:color w:val="auto"/>
        </w:rPr>
      </w:pPr>
    </w:p>
    <w:p>
      <w:pPr>
        <w:ind w:left="400"/>
        <w:spacing w:after="0"/>
        <w:tabs>
          <w:tab w:leader="none" w:pos="13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Accelerated Share Repurchase Agreement (uncollared), dated February 16, 2016, between Qorvo, Inc. and Bank of America, N.A.#</w:t>
      </w:r>
    </w:p>
    <w:p>
      <w:pPr>
        <w:spacing w:after="0" w:line="63" w:lineRule="exact"/>
        <w:rPr>
          <w:sz w:val="20"/>
          <w:szCs w:val="20"/>
          <w:color w:val="auto"/>
        </w:rPr>
      </w:pPr>
    </w:p>
    <w:p>
      <w:pPr>
        <w:ind w:left="400"/>
        <w:spacing w:after="0"/>
        <w:tabs>
          <w:tab w:leader="none" w:pos="13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Accelerated Share Repurchase Agreement (collared), dated February 16, 2016, between Qorvo, Inc. and Bank of America, N.A.#</w:t>
      </w:r>
    </w:p>
    <w:p>
      <w:pPr>
        <w:spacing w:after="0" w:line="2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240" w:top="130" w:right="6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Table of Contents</w:t>
              </w:r>
            </w:hyperlink>
          </w:p>
        </w:tc>
        <w:tc>
          <w:tcPr>
            <w:tcW w:w="9680" w:type="dxa"/>
            <w:vAlign w:val="bottom"/>
          </w:tcPr>
          <w:p>
            <w:pPr>
              <w:spacing w:after="0"/>
              <w:rPr>
                <w:sz w:val="16"/>
                <w:szCs w:val="16"/>
                <w:color w:val="auto"/>
              </w:rPr>
            </w:pPr>
          </w:p>
        </w:tc>
      </w:tr>
      <w:tr>
        <w:trPr>
          <w:trHeight w:val="628"/>
        </w:trPr>
        <w:tc>
          <w:tcPr>
            <w:tcW w:w="1160" w:type="dxa"/>
            <w:vAlign w:val="bottom"/>
            <w:tcBorders>
              <w:top w:val="single" w:sz="8" w:color="0000EE"/>
            </w:tcBorders>
          </w:tcPr>
          <w:p>
            <w:pPr>
              <w:ind w:left="40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Qorvo, Inc. Director Compensation Program, effective August 10, 2015*</w:t>
            </w:r>
          </w:p>
        </w:tc>
      </w:tr>
      <w:tr>
        <w:trPr>
          <w:trHeight w:val="270"/>
        </w:trPr>
        <w:tc>
          <w:tcPr>
            <w:tcW w:w="1160" w:type="dxa"/>
            <w:vAlign w:val="bottom"/>
          </w:tcPr>
          <w:p>
            <w:pPr>
              <w:ind w:left="40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3"/>
                <w:szCs w:val="23"/>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Form of Stock Option Agreement (Senior Officers) pursuant to the Qorvo, Inc. 2012 Stock Incentive Plan*</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2"/>
                <w:szCs w:val="22"/>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7"/>
              </w:rPr>
              <w:t>Form of Restricted Stock Unit Agreement (Service-Based Award for Senior Officers) pursuant to the Qorvo, Inc. 2012 Stock</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Incentive Plan*</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2"/>
                <w:szCs w:val="22"/>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0"/>
              </w:rPr>
              <w:t>Form of Restricted Stock Unit Agreement (Performance-Based and Service Based Award for Senior Officers) pursuant to the Qorvo,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Inc. 2012 Stock Incentive Plan*</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2"/>
                <w:szCs w:val="22"/>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2"/>
              </w:rPr>
              <w:t>Form of Restricted Stock Unit Agreement (Performance-Based Award for Senior Officers (TSR)) pursuant to the Qorvo, Inc. 2012</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Stock Incentive Plan*</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2"/>
                <w:szCs w:val="22"/>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5"/>
              </w:rPr>
              <w:t>Form of Restricted Stock Unit Award Agreement (Director Annual/Supplemental RSU) pursuant to the Qorvo, Inc. 2012 Stock</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Incentive Plan*</w:t>
            </w:r>
          </w:p>
        </w:tc>
      </w:tr>
      <w:tr>
        <w:trPr>
          <w:trHeight w:val="270"/>
        </w:trPr>
        <w:tc>
          <w:tcPr>
            <w:tcW w:w="1160" w:type="dxa"/>
            <w:vAlign w:val="bottom"/>
          </w:tcPr>
          <w:p>
            <w:pPr>
              <w:ind w:lef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Subsidiaries of Qorvo, Inc.</w:t>
            </w:r>
          </w:p>
        </w:tc>
      </w:tr>
      <w:tr>
        <w:trPr>
          <w:trHeight w:val="270"/>
        </w:trPr>
        <w:tc>
          <w:tcPr>
            <w:tcW w:w="1160" w:type="dxa"/>
            <w:vAlign w:val="bottom"/>
          </w:tcPr>
          <w:p>
            <w:pPr>
              <w:ind w:left="4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270"/>
        </w:trPr>
        <w:tc>
          <w:tcPr>
            <w:tcW w:w="1160" w:type="dxa"/>
            <w:vAlign w:val="bottom"/>
          </w:tcPr>
          <w:p>
            <w:pPr>
              <w:ind w:left="40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Consent of Independent Registered Public Accounting Firm (Ernst &amp; Young LLP)</w:t>
            </w:r>
          </w:p>
        </w:tc>
      </w:tr>
      <w:tr>
        <w:trPr>
          <w:trHeight w:val="472"/>
        </w:trPr>
        <w:tc>
          <w:tcPr>
            <w:tcW w:w="1160" w:type="dxa"/>
            <w:vAlign w:val="bottom"/>
          </w:tcPr>
          <w:p>
            <w:pPr>
              <w:ind w:left="4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3"/>
              </w:rPr>
              <w:t>Certification of Periodic Report by Robert A. Bruggeworth, as Chief Executive Officer, pursuant to Rule 13a-14(a) or 15d-14(a) of</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the Exchange Act, as adopted pursuant to Section 302 of the Sarbanes-Oxley Act of 2002</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5"/>
              </w:rPr>
              <w:t>Certification of Periodic Report by Steven J. Buhaly, as Chief Financial Officer, pursuant to Rule 13a-14(a) or 15d-14(a) of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Exchange Act, as adopted pursuant to Section 302 of the Sarbanes-Oxley Act of 2002</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5"/>
              </w:rPr>
              <w:t>Certification of Periodic Report by Robert A. Bruggeworth, as Chief Executive Officer, pursuant to 18 U.S.C. Section 1350, as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256"/>
        </w:trPr>
        <w:tc>
          <w:tcPr>
            <w:tcW w:w="1160" w:type="dxa"/>
            <w:vAlign w:val="bottom"/>
          </w:tcPr>
          <w:p>
            <w:pPr>
              <w:ind w:left="4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4"/>
              </w:rPr>
              <w:t>Certification of Periodic Report by Steven J. Buhaly, as Chief Financial Officer, pursuant to 18 U.S.C. Section 1350, as adopted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40" w:lineRule="exact"/>
        <w:rPr>
          <w:sz w:val="20"/>
          <w:szCs w:val="20"/>
          <w:color w:val="auto"/>
        </w:rPr>
      </w:pPr>
    </w:p>
    <w:p>
      <w:pPr>
        <w:ind w:left="1380" w:right="400" w:hanging="974"/>
        <w:spacing w:after="0" w:line="255" w:lineRule="auto"/>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10-K for the fiscal year ended April 2, 2016, formatted in XBRL (eXtensible Business Reporting Language): (i) the Consolidated Balance Sheets as of April 2, 2016 and March 28, 2015, (ii) the Consolidated Statements of Operations for the fiscal years ended April 2, 2016, March 28, 2015, and March 29, 2014, (iii) the Consolidated Statements of Stockholders' Equity for the fiscal years ended April 2, 2016, March 28, 2015 and March 29, 2014, (iv) the Consolidated Statements of Cash Flows for the fiscal years ended April 2, 2016, March 28, 2015, and March 29, 2014, and (v) the Notes to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Securities and Exchange Commission as part of an application for confidential treatment pursuant to the Securities Exchange Act of 1934, as amended.</w:t>
      </w:r>
    </w:p>
    <w:p>
      <w:pPr>
        <w:spacing w:after="0" w:line="170" w:lineRule="exact"/>
        <w:rPr>
          <w:sz w:val="20"/>
          <w:szCs w:val="20"/>
          <w:color w:val="auto"/>
        </w:rPr>
      </w:pPr>
    </w:p>
    <w:p>
      <w:pPr>
        <w:ind w:left="660" w:right="2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which portions have been omitted and filed separately with the SEC as part of an application for confidential treatment.</w:t>
      </w:r>
    </w:p>
    <w:p>
      <w:pPr>
        <w:spacing w:after="0" w:line="17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 The SEC file number for RFMD is 000-22511 and the SEC file number for TriQuint is 000-22660.</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18"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CERTAIN CONFIDENTIAL MATERIAL APPEARING IN THIS DOCUMENT,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MARKED BY [*****], HAS BEEN OMITTED AND FILED SEPARATELY WITH</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AND EXCHANGE COMMISSION PURSUANT TO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PROMULGATED UNDER THE SECURITIES EXCHANGE ACT OF 1934, AS AMENDED.</w:t>
      </w:r>
    </w:p>
    <w:p>
      <w:pPr>
        <w:spacing w:after="0" w:line="200" w:lineRule="exact"/>
        <w:rPr>
          <w:sz w:val="20"/>
          <w:szCs w:val="20"/>
          <w:color w:val="auto"/>
        </w:rPr>
      </w:pP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February 16, 2016</w:t>
      </w:r>
    </w:p>
    <w:p>
      <w:pPr>
        <w:sectPr>
          <w:pgSz w:w="11900" w:h="16838" w:orient="portrait"/>
          <w:cols w:equalWidth="0" w:num="1">
            <w:col w:w="11400"/>
          </w:cols>
          <w:pgMar w:left="240" w:top="148"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7628 Thorndike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Greensboro, NC 27409</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color w:val="auto"/>
        </w:rPr>
        <w:t>Attn:</w:t>
      </w:r>
      <w:r>
        <w:rPr>
          <w:sz w:val="20"/>
          <w:szCs w:val="20"/>
          <w:color w:val="auto"/>
        </w:rPr>
        <w:tab/>
      </w:r>
      <w:r>
        <w:rPr>
          <w:rFonts w:ascii="Arial" w:cs="Arial" w:eastAsia="Arial" w:hAnsi="Arial"/>
          <w:sz w:val="16"/>
          <w:szCs w:val="16"/>
          <w:color w:val="auto"/>
        </w:rPr>
        <w:t>Robert G. Clancy</w:t>
      </w:r>
    </w:p>
    <w:p>
      <w:pPr>
        <w:spacing w:after="0" w:line="3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Telephone:</w:t>
        <w:tab/>
        <w:t>336-678-8106</w:t>
      </w:r>
    </w:p>
    <w:p>
      <w:pPr>
        <w:spacing w:after="0" w:line="3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336-678-0427</w:t>
      </w:r>
    </w:p>
    <w:p>
      <w:pPr>
        <w:spacing w:after="0" w:line="200" w:lineRule="exact"/>
        <w:rPr>
          <w:sz w:val="20"/>
          <w:szCs w:val="20"/>
          <w:color w:val="auto"/>
        </w:rPr>
      </w:pPr>
    </w:p>
    <w:p>
      <w:pPr>
        <w:sectPr>
          <w:pgSz w:w="11900" w:h="16838" w:orient="portrait"/>
          <w:cols w:equalWidth="0" w:num="2">
            <w:col w:w="580" w:space="720"/>
            <w:col w:w="10100"/>
          </w:cols>
          <w:pgMar w:left="240" w:top="148" w:right="2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Merrill Lynch, Pierce, Fenner &amp; Smith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Tower at 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Peter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646-855-5821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646-822-5633</w:t>
      </w:r>
    </w:p>
    <w:p>
      <w:pPr>
        <w:spacing w:after="0" w:line="200" w:lineRule="exact"/>
        <w:rPr>
          <w:sz w:val="20"/>
          <w:szCs w:val="20"/>
          <w:color w:val="auto"/>
        </w:rPr>
      </w:pPr>
    </w:p>
    <w:p>
      <w:pPr>
        <w:sectPr>
          <w:pgSz w:w="11900" w:h="16838" w:orient="portrait"/>
          <w:cols w:equalWidth="0" w:num="2">
            <w:col w:w="580" w:space="720"/>
            <w:col w:w="10100"/>
          </w:cols>
          <w:pgMar w:left="240" w:top="148"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Issuer Forward Repurchase Transaction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(BofAML Reference Number: 168545134)</w:t>
      </w:r>
    </w:p>
    <w:p>
      <w:pPr>
        <w:spacing w:after="0" w:line="126" w:lineRule="exact"/>
        <w:rPr>
          <w:sz w:val="20"/>
          <w:szCs w:val="20"/>
          <w:color w:val="auto"/>
        </w:rPr>
      </w:pPr>
    </w:p>
    <w:p>
      <w:pPr>
        <w:sectPr>
          <w:pgSz w:w="11900" w:h="16838" w:orient="portrait"/>
          <w:cols w:equalWidth="0" w:num="2">
            <w:col w:w="580" w:space="720"/>
            <w:col w:w="10100"/>
          </w:cols>
          <w:pgMar w:left="240" w:top="148" w:right="2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The purpose of this communication (this “</w:t>
      </w:r>
      <w:r>
        <w:rPr>
          <w:rFonts w:ascii="Arial" w:cs="Arial" w:eastAsia="Arial" w:hAnsi="Arial"/>
          <w:sz w:val="17"/>
          <w:szCs w:val="17"/>
          <w:b w:val="1"/>
          <w:bCs w:val="1"/>
          <w:color w:val="auto"/>
        </w:rPr>
        <w:t>Confirmation</w:t>
      </w:r>
      <w:r>
        <w:rPr>
          <w:rFonts w:ascii="Arial" w:cs="Arial" w:eastAsia="Arial" w:hAnsi="Arial"/>
          <w:sz w:val="17"/>
          <w:szCs w:val="17"/>
          <w:color w:val="auto"/>
        </w:rPr>
        <w:t>”) is to confirm the terms and conditions of the Transaction entered into between Bank of America, N.A. (“</w:t>
      </w:r>
      <w:r>
        <w:rPr>
          <w:rFonts w:ascii="Arial" w:cs="Arial" w:eastAsia="Arial" w:hAnsi="Arial"/>
          <w:sz w:val="17"/>
          <w:szCs w:val="17"/>
          <w:b w:val="1"/>
          <w:bCs w:val="1"/>
          <w:color w:val="auto"/>
        </w:rPr>
        <w:t>BofA</w:t>
      </w:r>
      <w:r>
        <w:rPr>
          <w:rFonts w:ascii="Arial" w:cs="Arial" w:eastAsia="Arial" w:hAnsi="Arial"/>
          <w:sz w:val="17"/>
          <w:szCs w:val="17"/>
          <w:color w:val="auto"/>
        </w:rPr>
        <w:t>”) and Qorvo, Inc. (“</w:t>
      </w:r>
      <w:r>
        <w:rPr>
          <w:rFonts w:ascii="Arial" w:cs="Arial" w:eastAsia="Arial" w:hAnsi="Arial"/>
          <w:sz w:val="17"/>
          <w:szCs w:val="17"/>
          <w:b w:val="1"/>
          <w:bCs w:val="1"/>
          <w:color w:val="auto"/>
        </w:rPr>
        <w:t>Counterparty</w:t>
      </w:r>
      <w:r>
        <w:rPr>
          <w:rFonts w:ascii="Arial" w:cs="Arial" w:eastAsia="Arial" w:hAnsi="Arial"/>
          <w:sz w:val="17"/>
          <w:szCs w:val="17"/>
          <w:color w:val="auto"/>
        </w:rPr>
        <w:t>”) on the Trade Date specified below (the “</w:t>
      </w:r>
      <w:r>
        <w:rPr>
          <w:rFonts w:ascii="Arial" w:cs="Arial" w:eastAsia="Arial" w:hAnsi="Arial"/>
          <w:sz w:val="17"/>
          <w:szCs w:val="17"/>
          <w:b w:val="1"/>
          <w:bCs w:val="1"/>
          <w:color w:val="auto"/>
        </w:rPr>
        <w:t>Transaction</w:t>
      </w:r>
      <w:r>
        <w:rPr>
          <w:rFonts w:ascii="Arial" w:cs="Arial" w:eastAsia="Arial" w:hAnsi="Arial"/>
          <w:sz w:val="17"/>
          <w:szCs w:val="17"/>
          <w:color w:val="auto"/>
        </w:rPr>
        <w:t>”). The terms of the Transaction shall be set forth in this Confirmation. This Confirmation shall constitute a “Confirmation” as referred to in the ISDA Master Agreement specified below.</w:t>
      </w:r>
    </w:p>
    <w:p>
      <w:pPr>
        <w:spacing w:after="0" w:line="158" w:lineRule="exact"/>
        <w:rPr>
          <w:sz w:val="20"/>
          <w:szCs w:val="20"/>
          <w:color w:val="auto"/>
        </w:rPr>
      </w:pPr>
    </w:p>
    <w:p>
      <w:pPr>
        <w:ind w:right="160" w:firstLine="8"/>
        <w:spacing w:after="0" w:line="261" w:lineRule="auto"/>
        <w:tabs>
          <w:tab w:leader="none" w:pos="3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2006 ISDA Definitions (including the Annex thereto) (the “</w:t>
      </w:r>
      <w:r>
        <w:rPr>
          <w:rFonts w:ascii="Arial" w:cs="Arial" w:eastAsia="Arial" w:hAnsi="Arial"/>
          <w:sz w:val="18"/>
          <w:szCs w:val="18"/>
          <w:b w:val="1"/>
          <w:bCs w:val="1"/>
          <w:color w:val="auto"/>
        </w:rPr>
        <w:t>2006</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and together with the 2006</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Definitions, the “</w:t>
      </w:r>
      <w:r>
        <w:rPr>
          <w:rFonts w:ascii="Arial" w:cs="Arial" w:eastAsia="Arial" w:hAnsi="Arial"/>
          <w:sz w:val="18"/>
          <w:szCs w:val="18"/>
          <w:b w:val="1"/>
          <w:bCs w:val="1"/>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In the event of any inconsistency between the 2006 Definitions and the Equity Definitions, the Equity Definitions will govern.</w:t>
      </w:r>
    </w:p>
    <w:p>
      <w:pPr>
        <w:spacing w:after="0" w:line="184"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This Confirmation evidences a complete and binding agreement between BofA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2002 ISDA Master Agreement (the “</w:t>
      </w:r>
      <w:r>
        <w:rPr>
          <w:rFonts w:ascii="Arial" w:cs="Arial" w:eastAsia="Arial" w:hAnsi="Arial"/>
          <w:sz w:val="18"/>
          <w:szCs w:val="18"/>
          <w:b w:val="1"/>
          <w:bCs w:val="1"/>
          <w:color w:val="auto"/>
        </w:rPr>
        <w:t>ISDA</w:t>
      </w:r>
      <w:r>
        <w:rPr>
          <w:rFonts w:ascii="Arial" w:cs="Arial" w:eastAsia="Arial" w:hAnsi="Arial"/>
          <w:sz w:val="18"/>
          <w:szCs w:val="18"/>
          <w:color w:val="auto"/>
        </w:rPr>
        <w:t xml:space="preserve"> </w:t>
      </w:r>
      <w:r>
        <w:rPr>
          <w:rFonts w:ascii="Arial" w:cs="Arial" w:eastAsia="Arial" w:hAnsi="Arial"/>
          <w:sz w:val="18"/>
          <w:szCs w:val="18"/>
          <w:b w:val="1"/>
          <w:bCs w:val="1"/>
          <w:color w:val="auto"/>
        </w:rPr>
        <w:t>Form</w:t>
      </w:r>
      <w:r>
        <w:rPr>
          <w:rFonts w:ascii="Arial" w:cs="Arial" w:eastAsia="Arial" w:hAnsi="Arial"/>
          <w:sz w:val="18"/>
          <w:szCs w:val="18"/>
          <w:color w:val="auto"/>
        </w:rPr>
        <w:t>”) as if BofA and Counterparty had executed an agreement in such form (without any Schedule but with the elections set forth in this Confirmation).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 shall be the only Transaction under the Agreement.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 The Transaction is a Share Forward Transaction within the meaning set forth in the Equity Definitions.</w:t>
      </w:r>
    </w:p>
    <w:p>
      <w:pPr>
        <w:spacing w:after="0" w:line="1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terms of the particular Transaction to which this Confirmation relates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00"/>
          </w:cols>
          <w:pgMar w:left="240" w:top="148" w:right="259" w:bottom="1440" w:gutter="0" w:footer="0" w:header="0"/>
          <w:type w:val="continuous"/>
        </w:sectPr>
      </w:pP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February 16, 2016</w:t>
      </w:r>
    </w:p>
    <w:p>
      <w:pPr>
        <w:spacing w:after="0" w:line="140" w:lineRule="exact"/>
        <w:rPr>
          <w:sz w:val="20"/>
          <w:szCs w:val="20"/>
          <w:color w:val="auto"/>
        </w:rPr>
      </w:pPr>
    </w:p>
    <w:p>
      <w:pPr>
        <w:sectPr>
          <w:pgSz w:w="11900" w:h="16838" w:orient="portrait"/>
          <w:cols w:equalWidth="0" w:num="2">
            <w:col w:w="2700" w:space="720"/>
            <w:col w:w="7980"/>
          </w:cols>
          <w:pgMar w:left="240" w:top="148"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w:t>
      </w:r>
    </w:p>
    <w:p>
      <w:pPr>
        <w:spacing w:after="0" w:line="117" w:lineRule="exact"/>
        <w:rPr>
          <w:sz w:val="20"/>
          <w:szCs w:val="20"/>
          <w:color w:val="auto"/>
        </w:rPr>
      </w:pPr>
    </w:p>
    <w:p>
      <w:pPr>
        <w:sectPr>
          <w:pgSz w:w="11900" w:h="16838" w:orient="portrait"/>
          <w:cols w:equalWidth="0" w:num="2">
            <w:col w:w="2700" w:space="720"/>
            <w:col w:w="7980"/>
          </w:cols>
          <w:pgMar w:left="240" w:top="148"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w:t>
      </w:r>
    </w:p>
    <w:p>
      <w:pPr>
        <w:spacing w:after="0" w:line="140" w:lineRule="exact"/>
        <w:rPr>
          <w:sz w:val="20"/>
          <w:szCs w:val="20"/>
          <w:color w:val="auto"/>
        </w:rPr>
      </w:pPr>
    </w:p>
    <w:p>
      <w:pPr>
        <w:sectPr>
          <w:pgSz w:w="11900" w:h="16838" w:orient="portrait"/>
          <w:cols w:equalWidth="0" w:num="2">
            <w:col w:w="2700" w:space="720"/>
            <w:col w:w="7980"/>
          </w:cols>
          <w:pgMar w:left="240" w:top="148" w:right="25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common stock of Counterparty, par value USD 0.0001 per share (Ticker Symbol: “QRVO”)</w:t>
      </w:r>
    </w:p>
    <w:p>
      <w:pPr>
        <w:sectPr>
          <w:pgSz w:w="11900" w:h="16838" w:orient="portrait"/>
          <w:cols w:equalWidth="0" w:num="2">
            <w:col w:w="2700" w:space="720"/>
            <w:col w:w="7980"/>
          </w:cols>
          <w:pgMar w:left="240" w:top="148" w:right="259" w:bottom="1440" w:gutter="0" w:footer="0" w:header="0"/>
          <w:type w:val="continuous"/>
        </w:sectPr>
      </w:pPr>
    </w:p>
    <w:bookmarkStart w:id="110" w:name="page111"/>
    <w:bookmarkEnd w:id="110"/>
    <w:p>
      <w:pPr>
        <w:ind w:left="660"/>
        <w:spacing w:after="0"/>
        <w:rPr>
          <w:sz w:val="20"/>
          <w:szCs w:val="20"/>
          <w:color w:val="auto"/>
        </w:rPr>
      </w:pPr>
      <w:r>
        <w:rPr>
          <w:rFonts w:ascii="Arial" w:cs="Arial" w:eastAsia="Arial" w:hAnsi="Arial"/>
          <w:sz w:val="15"/>
          <w:szCs w:val="15"/>
          <w:color w:val="auto"/>
        </w:rPr>
        <w:t>Prepayment: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129" w:lineRule="exact"/>
        <w:rPr>
          <w:sz w:val="20"/>
          <w:szCs w:val="20"/>
          <w:color w:val="auto"/>
        </w:rPr>
      </w:pPr>
    </w:p>
    <w:p>
      <w:pPr>
        <w:sectPr>
          <w:pgSz w:w="11900" w:h="16838" w:orient="portrait"/>
          <w:cols w:equalWidth="0" w:num="2">
            <w:col w:w="2700" w:space="720"/>
            <w:col w:w="7980"/>
          </w:cols>
          <w:pgMar w:left="240" w:top="625" w:right="259" w:bottom="1440" w:gutter="0" w:footer="0" w:header="0"/>
        </w:sectPr>
      </w:pPr>
    </w:p>
    <w:p>
      <w:pPr>
        <w:ind w:left="660"/>
        <w:spacing w:after="0"/>
        <w:rPr>
          <w:sz w:val="20"/>
          <w:szCs w:val="20"/>
          <w:color w:val="auto"/>
        </w:rPr>
      </w:pPr>
      <w:r>
        <w:rPr>
          <w:rFonts w:ascii="Arial" w:cs="Arial" w:eastAsia="Arial" w:hAnsi="Arial"/>
          <w:sz w:val="16"/>
          <w:szCs w:val="16"/>
          <w:color w:val="auto"/>
        </w:rPr>
        <w:t>Prepayment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provided in Annex B to this Confirmation.</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Prepayment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first Exchange Business Day following the Trade Date</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Nasdaq Global Select</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Related Exchange(s):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Exchanges</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Calculation Agent:</w:t>
      </w:r>
    </w:p>
    <w:p>
      <w:pPr>
        <w:spacing w:after="0" w:line="20" w:lineRule="exact"/>
        <w:rPr>
          <w:sz w:val="20"/>
          <w:szCs w:val="20"/>
          <w:color w:val="auto"/>
        </w:rPr>
      </w:pPr>
      <w:r>
        <w:rPr>
          <w:sz w:val="20"/>
          <w:szCs w:val="20"/>
          <w:color w:val="auto"/>
        </w:rPr>
        <w:br w:type="column"/>
      </w:r>
    </w:p>
    <w:p>
      <w:pPr>
        <w:ind w:right="20"/>
        <w:spacing w:after="0" w:line="272" w:lineRule="auto"/>
        <w:rPr>
          <w:sz w:val="20"/>
          <w:szCs w:val="20"/>
          <w:color w:val="auto"/>
        </w:rPr>
      </w:pPr>
      <w:r>
        <w:rPr>
          <w:rFonts w:ascii="Arial" w:cs="Arial" w:eastAsia="Arial" w:hAnsi="Arial"/>
          <w:sz w:val="17"/>
          <w:szCs w:val="17"/>
          <w:color w:val="auto"/>
        </w:rPr>
        <w:t>Bank of America, N.A. All calculations and determinations by the Calculation Agent shall be made in good faith and in a commercially reasonable manner. Following any determination, adjustment or calculation by the Calculation Agent, the Calculation Agent will upon request by Counterparty promptly following (and, in any event, within five Exchange Business Days of) such request, provide to Counterparty a report (in a commonly used file format for the storage and manipulation of financial data without disclosing any confidential or proprietary models or other information that is confidential or proprietary) displaying in reasonable detail the basis for such determination, adjustment or calculation, as the case may be.</w:t>
      </w:r>
    </w:p>
    <w:p>
      <w:pPr>
        <w:spacing w:after="0" w:line="7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spacing w:after="0"/>
        <w:rPr>
          <w:sz w:val="20"/>
          <w:szCs w:val="20"/>
          <w:color w:val="auto"/>
        </w:rPr>
      </w:pPr>
      <w:r>
        <w:rPr>
          <w:rFonts w:ascii="Arial" w:cs="Arial" w:eastAsia="Arial" w:hAnsi="Arial"/>
          <w:sz w:val="16"/>
          <w:szCs w:val="16"/>
          <w:color w:val="auto"/>
        </w:rPr>
        <w:t>Valuation Terms:</w:t>
      </w:r>
    </w:p>
    <w:p>
      <w:pPr>
        <w:sectPr>
          <w:pgSz w:w="11900" w:h="16838" w:orient="portrait"/>
          <w:cols w:equalWidth="0" w:num="1">
            <w:col w:w="11400"/>
          </w:cols>
          <w:pgMar w:left="240" w:top="625" w:right="259" w:bottom="1440"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Averaging Dates: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Each of the consecutive Exchange Business Days commencing on, and including, the Exchange Business Day immediately following the Trade Date and ending on and including the Final Averaging Date.</w:t>
      </w:r>
    </w:p>
    <w:p>
      <w:pPr>
        <w:spacing w:after="0" w:line="16"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Final Averaging Date:</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7"/>
          <w:szCs w:val="17"/>
          <w:color w:val="auto"/>
        </w:rPr>
        <w:t xml:space="preserve">The Scheduled Final Averaging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BofA shall have the right, in its absolute discretion, at any time to accelerate the Final Averaging Date, in whole or in part, to any date that is on or after the Scheduled Earliest Acceleration Date by written notice to Counterparty no later than 8:00 P.M., New York City time, on the Scheduled Trading Day immediately preceding the Settlement Date.</w:t>
      </w:r>
    </w:p>
    <w:p>
      <w:pPr>
        <w:spacing w:after="0" w:line="59"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3420"/>
        <w:spacing w:after="0" w:line="269" w:lineRule="auto"/>
        <w:rPr>
          <w:sz w:val="20"/>
          <w:szCs w:val="20"/>
          <w:color w:val="auto"/>
        </w:rPr>
      </w:pPr>
      <w:r>
        <w:rPr>
          <w:rFonts w:ascii="Arial" w:cs="Arial" w:eastAsia="Arial" w:hAnsi="Arial"/>
          <w:sz w:val="17"/>
          <w:szCs w:val="17"/>
          <w:color w:val="auto"/>
        </w:rPr>
        <w:t>In the case of any acceleration of the Final Averaging Date in part (a “</w:t>
      </w:r>
      <w:r>
        <w:rPr>
          <w:rFonts w:ascii="Arial" w:cs="Arial" w:eastAsia="Arial" w:hAnsi="Arial"/>
          <w:sz w:val="17"/>
          <w:szCs w:val="17"/>
          <w:b w:val="1"/>
          <w:bCs w:val="1"/>
          <w:color w:val="auto"/>
        </w:rPr>
        <w:t>Partial Acceleration</w:t>
      </w:r>
      <w:r>
        <w:rPr>
          <w:rFonts w:ascii="Arial" w:cs="Arial" w:eastAsia="Arial" w:hAnsi="Arial"/>
          <w:sz w:val="17"/>
          <w:szCs w:val="17"/>
          <w:color w:val="auto"/>
        </w:rPr>
        <w:t>”), BofA shall specify in its written notice to Counterparty accelerating the Final Averaging Date the corresponding percentage of the Prepayment Amount that is subject to valuation on the related Valuation Date, and Calculation Agent shall adjust the terms of the Transaction as it deems appropriate, in a commercially reasonable manner, in order to take into account the occurrence of such Partial Acceleration (including cumulative adjustments to take into account all Partial Accelerations that occur during the term of the Transaction). For the avoidance of doubt, such adjustments shall be administrative or mechanical in nature and shall (i) not be based on an observable market, other than the market for the Shares, or an observable index, other than an index calculated or measured solely by reference to the Counterparty's own operations, (ii) be commercially reasonable in nature as permitted by the Transaction (such as to consider changes in volatility, expected dividends, stock price, strike price, stock loan rate or liquidity relevant to the Shares and Dealer’s ability to maintain a commercially reasonable hedge position in the underlying shares) and (iii) retain the Counterparty’s right for any settlement to be in Shares.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25" w:right="259" w:bottom="1440" w:gutter="0" w:footer="0" w:header="0"/>
          <w:type w:val="continuous"/>
        </w:sectPr>
      </w:pPr>
    </w:p>
    <w:bookmarkStart w:id="111" w:name="page112"/>
    <w:bookmarkEnd w:id="111"/>
    <w:p>
      <w:pPr>
        <w:ind w:right="100" w:hanging="12"/>
        <w:spacing w:after="0" w:line="277" w:lineRule="auto"/>
        <w:rPr>
          <w:sz w:val="20"/>
          <w:szCs w:val="20"/>
          <w:color w:val="auto"/>
        </w:rPr>
      </w:pPr>
      <w:r>
        <w:rPr>
          <w:rFonts w:ascii="Arial" w:cs="Arial" w:eastAsia="Arial" w:hAnsi="Arial"/>
          <w:sz w:val="18"/>
          <w:szCs w:val="18"/>
          <w:color w:val="auto"/>
        </w:rPr>
        <w:t>Scheduled Final Averaging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As provided in Annex B to this Confirmation.</w:t>
      </w:r>
    </w:p>
    <w:p>
      <w:pPr>
        <w:spacing w:after="0" w:line="139" w:lineRule="exact"/>
        <w:rPr>
          <w:sz w:val="20"/>
          <w:szCs w:val="20"/>
          <w:color w:val="auto"/>
        </w:rPr>
      </w:pPr>
    </w:p>
    <w:p>
      <w:pPr>
        <w:sectPr>
          <w:pgSz w:w="11900" w:h="16838" w:orient="portrait"/>
          <w:cols w:equalWidth="0" w:num="2">
            <w:col w:w="2040" w:space="720"/>
            <w:col w:w="7980"/>
          </w:cols>
          <w:pgMar w:left="900" w:top="625" w:right="259" w:bottom="1440" w:gutter="0" w:footer="0" w:header="0"/>
        </w:sectPr>
      </w:pPr>
    </w:p>
    <w:p>
      <w:pPr>
        <w:ind w:hanging="12"/>
        <w:spacing w:after="0" w:line="277" w:lineRule="auto"/>
        <w:rPr>
          <w:sz w:val="20"/>
          <w:szCs w:val="20"/>
          <w:color w:val="auto"/>
        </w:rPr>
      </w:pPr>
      <w:r>
        <w:rPr>
          <w:rFonts w:ascii="Arial" w:cs="Arial" w:eastAsia="Arial" w:hAnsi="Arial"/>
          <w:sz w:val="18"/>
          <w:szCs w:val="18"/>
          <w:color w:val="auto"/>
        </w:rPr>
        <w:t>Scheduled Earliest Acceleration Date: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provided in Annex B to this Confirmation.</w:t>
      </w:r>
    </w:p>
    <w:p>
      <w:pPr>
        <w:spacing w:after="0" w:line="139" w:lineRule="exact"/>
        <w:rPr>
          <w:sz w:val="20"/>
          <w:szCs w:val="20"/>
          <w:color w:val="auto"/>
        </w:rPr>
      </w:pPr>
    </w:p>
    <w:p>
      <w:pPr>
        <w:sectPr>
          <w:pgSz w:w="11900" w:h="16838" w:orient="portrait"/>
          <w:cols w:equalWidth="0" w:num="2">
            <w:col w:w="2300" w:space="460"/>
            <w:col w:w="7980"/>
          </w:cols>
          <w:pgMar w:left="900" w:top="625" w:right="259" w:bottom="1440" w:gutter="0" w:footer="0" w:header="0"/>
          <w:type w:val="continuous"/>
        </w:sectPr>
      </w:pPr>
    </w:p>
    <w:p>
      <w:pPr>
        <w:spacing w:after="0"/>
        <w:rPr>
          <w:sz w:val="20"/>
          <w:szCs w:val="20"/>
          <w:color w:val="auto"/>
        </w:rPr>
      </w:pPr>
      <w:r>
        <w:rPr>
          <w:rFonts w:ascii="Arial" w:cs="Arial" w:eastAsia="Arial" w:hAnsi="Arial"/>
          <w:sz w:val="16"/>
          <w:szCs w:val="16"/>
          <w:color w:val="auto"/>
        </w:rPr>
        <w:t>Valuation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Final Averaging Date.</w:t>
      </w:r>
    </w:p>
    <w:p>
      <w:pPr>
        <w:spacing w:after="0" w:line="140" w:lineRule="exact"/>
        <w:rPr>
          <w:sz w:val="20"/>
          <w:szCs w:val="20"/>
          <w:color w:val="auto"/>
        </w:rPr>
      </w:pPr>
    </w:p>
    <w:p>
      <w:pPr>
        <w:sectPr>
          <w:pgSz w:w="11900" w:h="16838" w:orient="portrait"/>
          <w:cols w:equalWidth="0" w:num="2">
            <w:col w:w="2040" w:space="720"/>
            <w:col w:w="7980"/>
          </w:cols>
          <w:pgMar w:left="900" w:top="625" w:right="259" w:bottom="1440" w:gutter="0" w:footer="0" w:header="0"/>
          <w:type w:val="continuous"/>
        </w:sectPr>
      </w:pPr>
    </w:p>
    <w:p>
      <w:pPr>
        <w:spacing w:after="0"/>
        <w:rPr>
          <w:sz w:val="20"/>
          <w:szCs w:val="20"/>
          <w:color w:val="auto"/>
        </w:rPr>
      </w:pPr>
      <w:r>
        <w:rPr>
          <w:rFonts w:ascii="Arial" w:cs="Arial" w:eastAsia="Arial" w:hAnsi="Arial"/>
          <w:sz w:val="16"/>
          <w:szCs w:val="16"/>
          <w:color w:val="auto"/>
        </w:rPr>
        <w:t>Averaging Date Disruption: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 xml:space="preserve">Modified Postponement,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the Equity Definitions, if a Market Disruption Event occurs on any Averaging Date, the Calculation Agent may, if appropriate in light of market conditions, regulatory considerations or otherwise, take any or all of the following actions: (i) postpone the Scheduled Final Averaging Date in accordance with Modified Postponement (as modified herein) and/or (ii) determine that such Averaging Date is a Disrupted Day only in part, in which case the Calculation Agent shall (x) determine the VWAP Price for such Disrupted Day based on Rule 10b-18 eligible transactions in the Shares on such Disrupted Day taking into account the nature and duration of such Market Disruption Event and (y) determine the Settlement Price based on an appropriately weighted average instead of the arithmetic average described under “Settlement Price” below. 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 Section 6.6(a) of the Equity Definitions is hereby amended by replacing the word “shall” in the fifth line thereof with the word “may,” and by deleting clause (i) thereof, and Section 6.7(c)(iii) (A) of the Equity Definitions is hereby amended by replacing the word “shall” in the sixth and eighth line thereof with the word “may.”</w:t>
      </w:r>
    </w:p>
    <w:p>
      <w:pPr>
        <w:spacing w:after="0" w:line="73" w:lineRule="exact"/>
        <w:rPr>
          <w:sz w:val="20"/>
          <w:szCs w:val="20"/>
          <w:color w:val="auto"/>
        </w:rPr>
      </w:pPr>
    </w:p>
    <w:p>
      <w:pPr>
        <w:sectPr>
          <w:pgSz w:w="11900" w:h="16838" w:orient="portrait"/>
          <w:cols w:equalWidth="0" w:num="2">
            <w:col w:w="2040" w:space="720"/>
            <w:col w:w="7980"/>
          </w:cols>
          <w:pgMar w:left="900" w:top="625"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Market Disruption Events:</w:t>
      </w:r>
    </w:p>
    <w:p>
      <w:pPr>
        <w:spacing w:after="0" w:line="20" w:lineRule="exact"/>
        <w:rPr>
          <w:sz w:val="20"/>
          <w:szCs w:val="20"/>
          <w:color w:val="auto"/>
        </w:rPr>
      </w:pPr>
      <w:r>
        <w:rPr>
          <w:sz w:val="20"/>
          <w:szCs w:val="20"/>
          <w:color w:val="auto"/>
        </w:rPr>
        <w:br w:type="column"/>
      </w:r>
    </w:p>
    <w:p>
      <w:pPr>
        <w:ind w:right="60"/>
        <w:spacing w:after="0" w:line="279" w:lineRule="auto"/>
        <w:rPr>
          <w:sz w:val="20"/>
          <w:szCs w:val="20"/>
          <w:color w:val="auto"/>
        </w:rPr>
      </w:pPr>
      <w:r>
        <w:rPr>
          <w:rFonts w:ascii="Arial" w:cs="Arial" w:eastAsia="Arial" w:hAnsi="Arial"/>
          <w:sz w:val="17"/>
          <w:szCs w:val="17"/>
          <w:color w:val="auto"/>
        </w:rPr>
        <w:t>Section 6.3(a) of the Equity Definitions is hereby amended (A) by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p>
      <w:pPr>
        <w:spacing w:after="0" w:line="63" w:lineRule="exact"/>
        <w:rPr>
          <w:sz w:val="20"/>
          <w:szCs w:val="20"/>
          <w:color w:val="auto"/>
        </w:rPr>
      </w:pPr>
    </w:p>
    <w:p>
      <w:pPr>
        <w:sectPr>
          <w:pgSz w:w="11900" w:h="16838" w:orient="portrait"/>
          <w:cols w:equalWidth="0" w:num="2">
            <w:col w:w="2040" w:space="720"/>
            <w:col w:w="7980"/>
          </w:cols>
          <w:pgMar w:left="900" w:top="625" w:right="259" w:bottom="1440" w:gutter="0" w:footer="0" w:header="0"/>
          <w:type w:val="continuous"/>
        </w:sectPr>
      </w:pPr>
    </w:p>
    <w:p>
      <w:pPr>
        <w:ind w:left="2760" w:right="640"/>
        <w:spacing w:after="0" w:line="277"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ectPr>
          <w:pgSz w:w="11900" w:h="16838" w:orient="portrait"/>
          <w:cols w:equalWidth="0" w:num="1">
            <w:col w:w="10740"/>
          </w:cols>
          <w:pgMar w:left="900" w:top="625" w:right="25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Regulatory Disruption: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Any event that BofA, in its good faith discretion and based on the advice of counsel, determines makes it appropriate with regard to any legal, regulatory or self-regulatory requirements or related policies and procedures (provided that such requirements, policies and procedures relate to regulatory issues and are generally applicable in similar situations and are applied in a consistent manner in similar transactions) for BofA to refrain from or decrease any market activity in connection with the Transaction. BofA shall notify Counterparty as soon as reasonably practicable that a Regulatory Disruption has occurred and the Averaging Dates affected by it; provided that Calculation Agent, in making any adjustment to the terms of the Transaction as a result of a Regulatory Disruption, shall make any such adjustment by reference of such event on Dealer</w:t>
      </w:r>
    </w:p>
    <w:p>
      <w:pPr>
        <w:spacing w:after="0" w:line="200" w:lineRule="exact"/>
        <w:rPr>
          <w:sz w:val="20"/>
          <w:szCs w:val="20"/>
          <w:color w:val="auto"/>
        </w:rPr>
      </w:pPr>
    </w:p>
    <w:p>
      <w:pPr>
        <w:sectPr>
          <w:pgSz w:w="11900" w:h="16838" w:orient="portrait"/>
          <w:cols w:equalWidth="0" w:num="2">
            <w:col w:w="2040" w:space="720"/>
            <w:col w:w="7980"/>
          </w:cols>
          <w:pgMar w:left="900" w:top="625" w:right="259" w:bottom="1440" w:gutter="0" w:footer="0" w:header="0"/>
          <w:type w:val="continuous"/>
        </w:sectPr>
      </w:pPr>
    </w:p>
    <w:p>
      <w:pPr>
        <w:spacing w:after="0" w:line="132"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40"/>
          </w:cols>
          <w:pgMar w:left="900" w:top="625" w:right="259" w:bottom="1440" w:gutter="0" w:footer="0" w:header="0"/>
          <w:type w:val="continuous"/>
        </w:sectPr>
      </w:pPr>
    </w:p>
    <w:bookmarkStart w:id="112" w:name="page113"/>
    <w:bookmarkEnd w:id="112"/>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Share Delivery: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Share Delivery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Shares: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Number of Shares to be Delivered:</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Price: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Averaging Period Price: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VWAP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 Adjustment Amount: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Excess Dividend Amount:</w:t>
      </w:r>
    </w:p>
    <w:p>
      <w:pPr>
        <w:spacing w:after="0" w:line="33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Share Adjustments: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Method of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assuming Dealer maintains a commercially reasonable Hedge Position.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On the Initial Share Delivery Date, BofA shall deliver to Counterparty the Initial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second Exchange Business Day following the 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Annex B to this Confirmation.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date that falls one Settlement Cycle following the Valuation Date.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the Settlement Date BofA shall deliver to Counterparty the Number of Shares to be Delivered if a positive number, or, if the Number of Shares to be Delivered is a negative number, the Counterparty Settlement Provisions in Annex A shall apply.</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number of Shares equal to (i)(a) the Prepayment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Averaging Period Price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Initial Shares.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Averaging Period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The arithmetic average of the VWAP Prices for all Averaging Dates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Discount.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any Averaging Date, the Rule 10b-18 dollar volume weighted average price per Share for such day based on transactions executed during such day, as reported on Bloomberg Page “QRVO &lt;Equity&gt; AQR SEC” (or any successor thereto) or, in the event such price is not so reported on such day for any reason or is manifestly incorrect, as reasonably determined in good faith and in a commercially reasonable manner by the Calculation Agent using a volume weighted method.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Annex B to this Confirmation.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avoidance of doubt, all references to the Excess Dividend Amount in Section 9.2(a)(iii) of the Equity Definitions shall be deleted.</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To the extent either party is obligated to deliver Shares hereunder, the provisions of the last sentence of Section 9.2 and Sections 9.8, 9.9, 9.10,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Counterparty is the Issuer of the Shares) and 9.12 of the Equity Definitions will be applicable as if “Physical Settlement” applied to the Transaction.</w:t>
      </w:r>
    </w:p>
    <w:p>
      <w:pPr>
        <w:spacing w:after="0" w:line="3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dividend or distribution on the Shares other than any dividend or distribution of the type described in Sections 11.2(e)(i), 11.2(e)(ii)(A) or 11.2(e)(ii)(B) of the Equity Definitions.</w:t>
      </w:r>
    </w:p>
    <w:p>
      <w:pPr>
        <w:spacing w:after="0" w:line="3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Calculation Agent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declaration or payment of Dividends shall not be a Potential Adjustment Event.</w:t>
      </w:r>
    </w:p>
    <w:p>
      <w:pPr>
        <w:spacing w:after="0" w:line="30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180" w:space="240"/>
            <w:col w:w="7940"/>
          </w:cols>
          <w:pgMar w:left="240" w:top="652" w:right="299" w:bottom="1440" w:gutter="0" w:footer="0" w:header="0"/>
        </w:sectPr>
      </w:pPr>
    </w:p>
    <w:bookmarkStart w:id="113" w:name="page114"/>
    <w:bookmarkEnd w:id="113"/>
    <w:p>
      <w:pPr>
        <w:ind w:left="3420" w:right="280"/>
        <w:spacing w:after="0" w:line="302" w:lineRule="auto"/>
        <w:rPr>
          <w:sz w:val="20"/>
          <w:szCs w:val="20"/>
          <w:color w:val="auto"/>
        </w:rPr>
      </w:pPr>
      <w:r>
        <w:rPr>
          <w:rFonts w:ascii="Arial" w:cs="Arial" w:eastAsia="Arial" w:hAnsi="Arial"/>
          <w:sz w:val="16"/>
          <w:szCs w:val="16"/>
          <w:color w:val="auto"/>
        </w:rPr>
        <w:t>It shall constitute an additional Potential Adjustment Event if the Scheduled Final Averaging Date is postponed pursuant to “Averaging Date Disruption” above, in which case the Calculation Agent may, in its commercially reasonable discretion, adjust any relevant terms of the Transaction as the Calculation Agent determines appropriate to account for the economic effect on the Transaction of such postponement.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Extraordinary Events: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Consequences of Merger Events:</w:t>
      </w:r>
    </w:p>
    <w:p>
      <w:pPr>
        <w:sectPr>
          <w:pgSz w:w="11900" w:h="16838" w:orient="portrait"/>
          <w:cols w:equalWidth="0" w:num="1">
            <w:col w:w="11400"/>
          </w:cols>
          <w:pgMar w:left="240" w:top="625" w:right="259" w:bottom="1440" w:gutter="0" w:footer="0" w:header="0"/>
        </w:sectPr>
      </w:pP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Share-for-Share: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129"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Consequences of Tender Offers:</w:t>
      </w:r>
    </w:p>
    <w:p>
      <w:pPr>
        <w:sectPr>
          <w:pgSz w:w="11900" w:h="16838" w:orient="portrait"/>
          <w:cols w:equalWidth="0" w:num="1">
            <w:col w:w="11400"/>
          </w:cols>
          <w:pgMar w:left="240" w:top="625" w:right="25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Composition of Combined</w:t>
      </w:r>
    </w:p>
    <w:p>
      <w:pPr>
        <w:sectPr>
          <w:pgSz w:w="11900" w:h="16838" w:orient="portrait"/>
          <w:cols w:equalWidth="0" w:num="1">
            <w:col w:w="11400"/>
          </w:cols>
          <w:pgMar w:left="240" w:top="625" w:right="259" w:bottom="1440" w:gutter="0" w:footer="0" w:header="0"/>
          <w:type w:val="continuous"/>
        </w:sectPr>
      </w:pP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Consideration: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14"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Consequences of Announcement</w:t>
      </w:r>
    </w:p>
    <w:p>
      <w:pPr>
        <w:sectPr>
          <w:pgSz w:w="11900" w:h="16838" w:orient="portrait"/>
          <w:cols w:equalWidth="0" w:num="1">
            <w:col w:w="11400"/>
          </w:cols>
          <w:pgMar w:left="240" w:top="625" w:right="259" w:bottom="1440" w:gutter="0" w:footer="0" w:header="0"/>
          <w:type w:val="continuous"/>
        </w:sectPr>
      </w:pP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Modified Calculation Agent Adjustment as set forth in Section 12.3(d) of the Equity Definitions;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references to “Tender Offer” shall be replaced by references to “Announcement Event” and references to “Tender Offer Date” shall be replaced by references to “Announcement Date.” An Announcement Event shall be an “Extraordinary Event” for purposes of the Equity Definitions, to which Article 12 of the Equity Definitions is applicable.</w:t>
      </w:r>
    </w:p>
    <w:p>
      <w:pPr>
        <w:spacing w:after="0" w:line="83"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Announcement Event:</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The occurrence of an Announcement Date in respect of a potential Acquisition Transaction (as defined in Section 9 below).</w:t>
      </w:r>
    </w:p>
    <w:p>
      <w:pPr>
        <w:spacing w:after="0" w:line="62"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Announcement Date: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date of the first public announcement in relation to an Acquisition Transaction, or any publicly announced change or amendment to the announcement giving rise to an Announcement Date.</w:t>
      </w:r>
    </w:p>
    <w:p>
      <w:pPr>
        <w:spacing w:after="0" w:line="62"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ind w:left="660" w:hanging="12"/>
        <w:spacing w:after="0" w:line="342" w:lineRule="auto"/>
        <w:rPr>
          <w:sz w:val="20"/>
          <w:szCs w:val="20"/>
          <w:color w:val="auto"/>
        </w:rPr>
      </w:pPr>
      <w:r>
        <w:rPr>
          <w:rFonts w:ascii="Arial" w:cs="Arial" w:eastAsia="Arial" w:hAnsi="Arial"/>
          <w:sz w:val="16"/>
          <w:szCs w:val="16"/>
          <w:color w:val="auto"/>
        </w:rPr>
        <w:t>Provisions applicable to Merger Events and Tender Offers: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consequences set forth opposite “Consequences of Merger Events” and “Consequences of Tender Offers” above shall apply regardless of whether a particular Merger Event or Tender Offer relates to an Announcement Date for which an adjustment has been made pursuant to Consequences of Announcement Events, without duplication of any such adjustment.</w:t>
      </w:r>
    </w:p>
    <w:p>
      <w:pPr>
        <w:spacing w:after="0" w:line="79" w:lineRule="exact"/>
        <w:rPr>
          <w:sz w:val="20"/>
          <w:szCs w:val="20"/>
          <w:color w:val="auto"/>
        </w:rPr>
      </w:pPr>
    </w:p>
    <w:p>
      <w:pPr>
        <w:sectPr>
          <w:pgSz w:w="11900" w:h="16838" w:orient="portrait"/>
          <w:cols w:equalWidth="0" w:num="2">
            <w:col w:w="2940" w:space="480"/>
            <w:col w:w="7980"/>
          </w:cols>
          <w:pgMar w:left="240" w:top="625"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New Shares: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In the definition of New Shares in Section 12.1(i) of the Equity Definitions, the text in clause (i) thereof shall be deleted in its entirety (including the word “and” following such clause (i)) and replaced with “publicly quoted, traded or listed on any of the New York Stock Exchange, The NASDAQ Global Select Market or The NASDAQ Global Market (or their respective successors)”.</w:t>
      </w:r>
    </w:p>
    <w:p>
      <w:pPr>
        <w:spacing w:after="0" w:line="200" w:lineRule="exact"/>
        <w:rPr>
          <w:sz w:val="20"/>
          <w:szCs w:val="20"/>
          <w:color w:val="auto"/>
        </w:rPr>
      </w:pPr>
    </w:p>
    <w:p>
      <w:pPr>
        <w:sectPr>
          <w:pgSz w:w="11900" w:h="16838" w:orient="portrait"/>
          <w:cols w:equalWidth="0" w:num="2">
            <w:col w:w="2700" w:space="720"/>
            <w:col w:w="7980"/>
          </w:cols>
          <w:pgMar w:left="240" w:top="625" w:right="259" w:bottom="1440" w:gutter="0" w:footer="0" w:header="0"/>
          <w:type w:val="continuous"/>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625" w:right="25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rPr>
              <w:t>Nationalization, Insolvency or</w:t>
            </w:r>
          </w:p>
        </w:tc>
        <w:tc>
          <w:tcPr>
            <w:tcW w:w="79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Delisting:</w:t>
            </w:r>
          </w:p>
        </w:tc>
        <w:tc>
          <w:tcPr>
            <w:tcW w:w="7980" w:type="dxa"/>
            <w:vAlign w:val="bottom"/>
          </w:tcPr>
          <w:p>
            <w:pPr>
              <w:ind w:left="100"/>
              <w:spacing w:after="0"/>
              <w:rPr>
                <w:sz w:val="20"/>
                <w:szCs w:val="20"/>
                <w:color w:val="auto"/>
              </w:rPr>
            </w:pPr>
            <w:r>
              <w:rPr>
                <w:rFonts w:ascii="Arial" w:cs="Arial" w:eastAsia="Arial" w:hAnsi="Arial"/>
                <w:sz w:val="18"/>
                <w:szCs w:val="18"/>
                <w:color w:val="auto"/>
                <w:w w:val="93"/>
              </w:rPr>
              <w:t xml:space="preserve">Cancellation and Payment (Calculation Agent Determination);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in addition to the provisions of</w:t>
            </w:r>
          </w:p>
        </w:tc>
      </w:t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3"/>
              </w:rPr>
              <w:t>Section 12.6(a)(iii) of the Equity Definitions, it shall also constitute a Delisting if the Exchange is located in</w:t>
            </w:r>
          </w:p>
        </w:tc>
      </w:t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89"/>
              </w:rPr>
              <w:t>the United States and the Shares are not immediately re-listed, re-traded or re-quoted on any of the New York</w:t>
            </w:r>
          </w:p>
        </w:tc>
      </w:t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94"/>
              </w:rPr>
              <w:t>Stock Exchange, The NASDAQ Global Market or The NASDAQ Global Select Market (or their respective</w:t>
            </w:r>
          </w:p>
        </w:tc>
      </w:t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w w:val="89"/>
              </w:rPr>
              <w:t>successors); if the Shares are immediately re-listed, re-traded or re-quoted on any such exchange or quotation</w:t>
            </w:r>
          </w:p>
        </w:tc>
      </w:tr>
      <w:tr>
        <w:trPr>
          <w:trHeight w:val="230"/>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system, such exchange or quotation system shall thereafter be deemed to be the Exchange.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rPr>
              <w:t>Additional Disruption Events:</w:t>
            </w:r>
          </w:p>
        </w:tc>
        <w:tc>
          <w:tcPr>
            <w:tcW w:w="79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Change in Law:</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Failure to Deliver:</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Insolvency Filing:</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Hedging Disruption:</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Increased Cost of Hedging:</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Loss of Stock Borrow:</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rPr>
              <w:t>Maximum Stock Loan Rate:</w:t>
            </w:r>
          </w:p>
        </w:tc>
        <w:tc>
          <w:tcPr>
            <w:tcW w:w="7980" w:type="dxa"/>
            <w:vAlign w:val="bottom"/>
          </w:tcPr>
          <w:p>
            <w:pPr>
              <w:ind w:left="100"/>
              <w:spacing w:after="0"/>
              <w:rPr>
                <w:sz w:val="20"/>
                <w:szCs w:val="20"/>
                <w:color w:val="auto"/>
              </w:rPr>
            </w:pPr>
            <w:r>
              <w:rPr>
                <w:rFonts w:ascii="Arial" w:cs="Arial" w:eastAsia="Arial" w:hAnsi="Arial"/>
                <w:sz w:val="18"/>
                <w:szCs w:val="18"/>
                <w:color w:val="auto"/>
              </w:rPr>
              <w:t>As provided in Annex B to this Confirmation.</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w w:val="98"/>
              </w:rPr>
              <w:t>Increased Cost of Stock Borrow:</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rPr>
              <w:t>Initial Stock Loan Rate:</w:t>
            </w:r>
          </w:p>
        </w:tc>
        <w:tc>
          <w:tcPr>
            <w:tcW w:w="7980" w:type="dxa"/>
            <w:vAlign w:val="bottom"/>
          </w:tcPr>
          <w:p>
            <w:pPr>
              <w:ind w:left="100"/>
              <w:spacing w:after="0"/>
              <w:rPr>
                <w:sz w:val="20"/>
                <w:szCs w:val="20"/>
                <w:color w:val="auto"/>
              </w:rPr>
            </w:pPr>
            <w:r>
              <w:rPr>
                <w:rFonts w:ascii="Arial" w:cs="Arial" w:eastAsia="Arial" w:hAnsi="Arial"/>
                <w:sz w:val="18"/>
                <w:szCs w:val="18"/>
                <w:color w:val="auto"/>
              </w:rPr>
              <w:t>As provided in Annex B to this Confirmation.</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Hedging Party:</w:t>
            </w:r>
          </w:p>
        </w:tc>
        <w:tc>
          <w:tcPr>
            <w:tcW w:w="7980" w:type="dxa"/>
            <w:vAlign w:val="bottom"/>
          </w:tcPr>
          <w:p>
            <w:pPr>
              <w:ind w:left="100"/>
              <w:spacing w:after="0"/>
              <w:rPr>
                <w:sz w:val="20"/>
                <w:szCs w:val="20"/>
                <w:color w:val="auto"/>
              </w:rPr>
            </w:pPr>
            <w:r>
              <w:rPr>
                <w:rFonts w:ascii="Arial" w:cs="Arial" w:eastAsia="Arial" w:hAnsi="Arial"/>
                <w:sz w:val="18"/>
                <w:szCs w:val="18"/>
                <w:color w:val="auto"/>
              </w:rPr>
              <w:t>For all applicable Potential Adjustment Events and Extraordinary Events, BofA</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Determining Party:</w:t>
            </w:r>
          </w:p>
        </w:tc>
        <w:tc>
          <w:tcPr>
            <w:tcW w:w="7980" w:type="dxa"/>
            <w:vAlign w:val="bottom"/>
          </w:tcPr>
          <w:p>
            <w:pPr>
              <w:ind w:left="100"/>
              <w:spacing w:after="0"/>
              <w:rPr>
                <w:sz w:val="20"/>
                <w:szCs w:val="20"/>
                <w:color w:val="auto"/>
              </w:rPr>
            </w:pPr>
            <w:r>
              <w:rPr>
                <w:rFonts w:ascii="Arial" w:cs="Arial" w:eastAsia="Arial" w:hAnsi="Arial"/>
                <w:sz w:val="18"/>
                <w:szCs w:val="18"/>
                <w:color w:val="auto"/>
              </w:rPr>
              <w:t>For all Extraordinary Events, BofA</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Non-Reliance:</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10"/>
        </w:trPr>
        <w:tc>
          <w:tcPr>
            <w:tcW w:w="32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w w:val="93"/>
              </w:rPr>
              <w:t>Agreements and Acknowledgments</w:t>
            </w:r>
          </w:p>
        </w:tc>
        <w:tc>
          <w:tcPr>
            <w:tcW w:w="79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Regarding Hedging Activities:</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Additional Acknowledgments:</w:t>
            </w:r>
          </w:p>
        </w:tc>
        <w:tc>
          <w:tcPr>
            <w:tcW w:w="798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284"/>
        </w:trPr>
        <w:tc>
          <w:tcPr>
            <w:tcW w:w="3320" w:type="dxa"/>
            <w:vAlign w:val="bottom"/>
            <w:gridSpan w:val="3"/>
          </w:tcPr>
          <w:p>
            <w:pPr>
              <w:spacing w:after="0"/>
              <w:rPr>
                <w:sz w:val="20"/>
                <w:szCs w:val="20"/>
                <w:color w:val="auto"/>
              </w:rPr>
            </w:pPr>
            <w:r>
              <w:rPr>
                <w:rFonts w:ascii="Arial" w:cs="Arial" w:eastAsia="Arial" w:hAnsi="Arial"/>
                <w:sz w:val="18"/>
                <w:szCs w:val="18"/>
                <w:color w:val="auto"/>
              </w:rPr>
              <w:t>3.  Account Details:</w:t>
            </w:r>
          </w:p>
        </w:tc>
        <w:tc>
          <w:tcPr>
            <w:tcW w:w="79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330"/>
        </w:trPr>
        <w:tc>
          <w:tcPr>
            <w:tcW w:w="32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rPr>
              <w:t>(a) Account for payments to</w:t>
            </w:r>
          </w:p>
        </w:tc>
        <w:tc>
          <w:tcPr>
            <w:tcW w:w="79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Counterparty:</w:t>
            </w:r>
          </w:p>
        </w:tc>
        <w:tc>
          <w:tcPr>
            <w:tcW w:w="7980" w:type="dxa"/>
            <w:vAlign w:val="bottom"/>
          </w:tcPr>
          <w:p>
            <w:pPr>
              <w:ind w:left="100"/>
              <w:spacing w:after="0"/>
              <w:rPr>
                <w:sz w:val="20"/>
                <w:szCs w:val="20"/>
                <w:color w:val="auto"/>
              </w:rPr>
            </w:pPr>
            <w:r>
              <w:rPr>
                <w:rFonts w:ascii="Arial" w:cs="Arial" w:eastAsia="Arial" w:hAnsi="Arial"/>
                <w:sz w:val="18"/>
                <w:szCs w:val="18"/>
                <w:color w:val="auto"/>
              </w:rPr>
              <w:t>To be provided separately upon request</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w w:val="98"/>
              </w:rPr>
              <w:t>(b) Account for payments to BofA:</w:t>
            </w:r>
          </w:p>
        </w:tc>
        <w:tc>
          <w:tcPr>
            <w:tcW w:w="7980" w:type="dxa"/>
            <w:vAlign w:val="bottom"/>
          </w:tcPr>
          <w:p>
            <w:pPr>
              <w:spacing w:after="0"/>
              <w:rPr>
                <w:sz w:val="24"/>
                <w:szCs w:val="24"/>
                <w:color w:val="auto"/>
              </w:rPr>
            </w:pPr>
          </w:p>
        </w:tc>
      </w:tr>
    </w:tbl>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SWIFT: BOFAUS3N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Routing: 026-009-593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Name: Bank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No.: 0012334-61892</w:t>
      </w:r>
    </w:p>
    <w:p>
      <w:pPr>
        <w:spacing w:after="0" w:line="103"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hanging="237"/>
        <w:spacing w:after="0"/>
        <w:tabs>
          <w:tab w:leader="none" w:pos="8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Office of Counterparty for the Transaction is: Counterparty is not a Multibranch Party</w:t>
      </w:r>
    </w:p>
    <w:p>
      <w:pPr>
        <w:spacing w:after="0" w:line="117" w:lineRule="exact"/>
        <w:rPr>
          <w:rFonts w:ascii="Arial" w:cs="Arial" w:eastAsia="Arial" w:hAnsi="Arial"/>
          <w:sz w:val="18"/>
          <w:szCs w:val="18"/>
          <w:color w:val="auto"/>
        </w:rPr>
      </w:pPr>
    </w:p>
    <w:p>
      <w:pPr>
        <w:ind w:left="900" w:hanging="257"/>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Office of BofA for the Transaction is: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Merrill Lynch, Pierce, Fenner &amp; Smith Incorporated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Tower at One Bryant Park</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625" w:right="359" w:bottom="1440" w:gutter="0" w:footer="0" w:header="0"/>
        </w:sectPr>
      </w:pPr>
    </w:p>
    <w:bookmarkStart w:id="115" w:name="page116"/>
    <w:bookmarkEnd w:id="115"/>
    <w:p>
      <w:pPr>
        <w:ind w:left="1372"/>
        <w:spacing w:after="0"/>
        <w:rPr>
          <w:sz w:val="20"/>
          <w:szCs w:val="20"/>
          <w:color w:val="auto"/>
        </w:rPr>
      </w:pPr>
      <w:r>
        <w:rPr>
          <w:rFonts w:ascii="Arial" w:cs="Arial" w:eastAsia="Arial" w:hAnsi="Arial"/>
          <w:sz w:val="18"/>
          <w:szCs w:val="18"/>
          <w:color w:val="auto"/>
        </w:rPr>
        <w:t>New York, NY 10036</w:t>
      </w:r>
    </w:p>
    <w:p>
      <w:pPr>
        <w:spacing w:after="0" w:line="333" w:lineRule="exact"/>
        <w:rPr>
          <w:sz w:val="20"/>
          <w:szCs w:val="20"/>
          <w:color w:val="auto"/>
        </w:rPr>
      </w:pPr>
    </w:p>
    <w:p>
      <w:pPr>
        <w:ind w:left="312" w:hanging="312"/>
        <w:spacing w:after="0"/>
        <w:tabs>
          <w:tab w:leader="none" w:pos="31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117" w:lineRule="exact"/>
        <w:rPr>
          <w:rFonts w:ascii="Arial" w:cs="Arial" w:eastAsia="Arial" w:hAnsi="Arial"/>
          <w:sz w:val="18"/>
          <w:szCs w:val="18"/>
          <w:color w:val="auto"/>
        </w:rPr>
      </w:pPr>
    </w:p>
    <w:p>
      <w:pPr>
        <w:ind w:left="872" w:hanging="237"/>
        <w:spacing w:after="0"/>
        <w:tabs>
          <w:tab w:leader="none" w:pos="8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117"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Qorvo, Inc.</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7628 Thorndike Road</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Greensboro, NC 27409</w:t>
      </w:r>
    </w:p>
    <w:p>
      <w:pPr>
        <w:spacing w:after="0" w:line="9" w:lineRule="exact"/>
        <w:rPr>
          <w:sz w:val="20"/>
          <w:szCs w:val="20"/>
          <w:color w:val="auto"/>
        </w:rPr>
      </w:pPr>
    </w:p>
    <w:p>
      <w:pPr>
        <w:ind w:left="1292"/>
        <w:spacing w:after="0"/>
        <w:tabs>
          <w:tab w:leader="none" w:pos="2012"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Robert G. Clancy</w:t>
      </w:r>
    </w:p>
    <w:p>
      <w:pPr>
        <w:spacing w:after="0" w:line="9" w:lineRule="exact"/>
        <w:rPr>
          <w:sz w:val="20"/>
          <w:szCs w:val="20"/>
          <w:color w:val="auto"/>
        </w:rPr>
      </w:pPr>
    </w:p>
    <w:p>
      <w:pPr>
        <w:ind w:left="1292"/>
        <w:spacing w:after="0"/>
        <w:tabs>
          <w:tab w:leader="none" w:pos="2252" w:val="left"/>
        </w:tabs>
        <w:rPr>
          <w:sz w:val="20"/>
          <w:szCs w:val="20"/>
          <w:color w:val="auto"/>
        </w:rPr>
      </w:pPr>
      <w:r>
        <w:rPr>
          <w:rFonts w:ascii="Arial" w:cs="Arial" w:eastAsia="Arial" w:hAnsi="Arial"/>
          <w:sz w:val="18"/>
          <w:szCs w:val="18"/>
          <w:color w:val="auto"/>
        </w:rPr>
        <w:t>Telephone:</w:t>
        <w:tab/>
        <w:t>336-678-8106</w:t>
      </w:r>
    </w:p>
    <w:p>
      <w:pPr>
        <w:spacing w:after="0" w:line="9" w:lineRule="exact"/>
        <w:rPr>
          <w:sz w:val="20"/>
          <w:szCs w:val="20"/>
          <w:color w:val="auto"/>
        </w:rPr>
      </w:pPr>
    </w:p>
    <w:p>
      <w:pPr>
        <w:ind w:left="1292"/>
        <w:spacing w:after="0"/>
        <w:tabs>
          <w:tab w:leader="none" w:pos="2212" w:val="left"/>
        </w:tabs>
        <w:rPr>
          <w:sz w:val="20"/>
          <w:szCs w:val="20"/>
          <w:color w:val="auto"/>
        </w:rPr>
      </w:pPr>
      <w:r>
        <w:rPr>
          <w:rFonts w:ascii="Arial" w:cs="Arial" w:eastAsia="Arial" w:hAnsi="Arial"/>
          <w:sz w:val="18"/>
          <w:szCs w:val="18"/>
          <w:color w:val="auto"/>
        </w:rPr>
        <w:t>Facsimile:</w:t>
        <w:tab/>
        <w:t>336-678-0427</w:t>
      </w:r>
    </w:p>
    <w:p>
      <w:pPr>
        <w:spacing w:after="0" w:line="211" w:lineRule="exact"/>
        <w:rPr>
          <w:sz w:val="20"/>
          <w:szCs w:val="20"/>
          <w:color w:val="auto"/>
        </w:rPr>
      </w:pPr>
    </w:p>
    <w:p>
      <w:pPr>
        <w:ind w:left="632"/>
        <w:spacing w:after="0"/>
        <w:rPr>
          <w:sz w:val="20"/>
          <w:szCs w:val="20"/>
          <w:color w:val="auto"/>
        </w:rPr>
      </w:pPr>
      <w:r>
        <w:rPr>
          <w:rFonts w:ascii="Arial" w:cs="Arial" w:eastAsia="Arial" w:hAnsi="Arial"/>
          <w:sz w:val="18"/>
          <w:szCs w:val="18"/>
          <w:color w:val="auto"/>
        </w:rPr>
        <w:t>(b) Address for notices or communications to BofA:</w:t>
      </w:r>
    </w:p>
    <w:p>
      <w:pPr>
        <w:spacing w:after="0" w:line="117"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c/o Merrill Lynch, Pierce, Fenner &amp; Smith Incorporated</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Bank of America Tower at One Bryant Park</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Attn: Peter Tucker</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Telephone: 646-855-5821</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Facsimile: 646-822-5633</w:t>
      </w:r>
    </w:p>
    <w:p>
      <w:pPr>
        <w:spacing w:after="0" w:line="211" w:lineRule="exact"/>
        <w:rPr>
          <w:sz w:val="20"/>
          <w:szCs w:val="20"/>
          <w:color w:val="auto"/>
        </w:rPr>
      </w:pPr>
    </w:p>
    <w:p>
      <w:pPr>
        <w:ind w:left="312" w:hanging="312"/>
        <w:spacing w:after="0"/>
        <w:tabs>
          <w:tab w:leader="none" w:pos="31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Transactions in the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656"/>
        <w:spacing w:after="0" w:line="218" w:lineRule="exact"/>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Counterparty acknowledges and agrees that the Initial Shares delivered on the Initial Share Delivery Date may be sold short to Counterparty. Counterparty further acknowledges and agrees that BofA may, during (i) the period from the date hereof to the Valuation Date or, if later, the Scheduled Earliest Acceleration Date without regard to any adjustment thereof pursuant to “Special Provisions regarding Transaction Announcements” below, and (ii) the period from and including the first Settlement Valuation Date to and including the last Settlement Valuation Date, if any (together, the “</w:t>
      </w:r>
      <w:r>
        <w:rPr>
          <w:rFonts w:ascii="Arial" w:cs="Arial" w:eastAsia="Arial" w:hAnsi="Arial"/>
          <w:sz w:val="16"/>
          <w:szCs w:val="16"/>
          <w:b w:val="1"/>
          <w:bCs w:val="1"/>
          <w:color w:val="auto"/>
        </w:rPr>
        <w:t>Relevant</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purchase Shares in connection with the Transaction, which Shares may be used to cover all or a portion of such short sale or may be delivered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Counterparty. Such purchases will be conducted independently of Counterparty. The timing of such purchases by BofA, the number of Shares purchased by BofA on any day, the price paid per Share pursuant to such purchases and the manner in which such purchases are made, including without limitation whether such purchases are made on any securities exchange or privately, shall be within the absolute discretion of BofA. It is the intent of the parties that the Transaction comply with the requirements of Rule 10b5-1(c)(1)(i)(B)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parties agree that this Confirmation shall be interpreted to comply with the requirements of Rule 10b5-1(c), and Counterparty shall not take any action that results in the Transaction not so complying with such requirements. Without limiting the generality of the preceding sentence, Counterparty acknowledges and agrees that (A) Counterparty does not have, and shall not attempt to exercise, any influence over how, when or whether BofA effects any purchases of Shares in connection with the Transaction, (B) during the period beginning on (but excluding) the date of this Confirmation and ending on (and including) the last day of the Relevant Period, neither Counterparty nor its officers or employees shall, directly or indirectly, communicate any information regarding Counterparty or the Shares to any employee of BofA or its Affiliates responsible for trading the Shares in connection with the transactions contemplated hereby, (C) Counterparty is entering into the Transaction in good faith and not as part of a plan or scheme to evade compliance with federal securities laws including, without limitation, Rule 10b</w:t>
      </w:r>
      <w:r>
        <w:rPr>
          <w:rFonts w:ascii="MS PGothic" w:cs="MS PGothic" w:eastAsia="MS PGothic" w:hAnsi="MS PGothic"/>
          <w:sz w:val="16"/>
          <w:szCs w:val="16"/>
          <w:color w:val="auto"/>
        </w:rPr>
        <w:t>‑</w:t>
      </w:r>
      <w:r>
        <w:rPr>
          <w:rFonts w:ascii="Arial" w:cs="Arial" w:eastAsia="Arial" w:hAnsi="Arial"/>
          <w:sz w:val="16"/>
          <w:szCs w:val="16"/>
          <w:color w:val="auto"/>
        </w:rPr>
        <w:t>5 promulgated under the Exchange Act and (D) Counterparty will not alter or deviate from this Confirmation or enter into or alter a corresponding hedging transaction with respect to the Shares. Counterparty also acknowledges and agrees that any amendment, modification, waiver or termination of this Confirmation must be effected in accordance with the requirements for the amendment or termination of a “plan” as defined in Rule 10b5-1(c) under the Exchange Act. Without limiting the generality of the foregoing, any such amendment, modification, waiver or termination shall be made in good faith and not as part of a plan or scheme to evade the prohibitions of Rule 10b-5 under the Exchange Act, and no such amendment, modification or waiver shall be made at any time at which Counterparty or any officer or director of Counterparty is aware of any material nonpublic information regarding Counterparty or the Shares.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625" w:right="239" w:bottom="1440" w:gutter="0" w:footer="0" w:header="0"/>
        </w:sectPr>
      </w:pPr>
    </w:p>
    <w:bookmarkStart w:id="116" w:name="page117"/>
    <w:bookmarkEnd w:id="116"/>
    <w:p>
      <w:pPr>
        <w:ind w:firstLine="656"/>
        <w:spacing w:after="0" w:line="264" w:lineRule="auto"/>
        <w:tabs>
          <w:tab w:leader="none" w:pos="1038"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Counterparty agrees that neither Counterparty nor any of its Affiliates or agents shall take any action that would cause Regulation M to be applicable to any purchases of Shares, or any security for which the Shares are a reference security (as defined in Regulation M), by Counterparty or any of its affiliated purchasers (as defined in Regulation M) during the Relevant Period.</w:t>
      </w:r>
    </w:p>
    <w:p>
      <w:pPr>
        <w:spacing w:after="0" w:line="181" w:lineRule="exact"/>
        <w:rPr>
          <w:rFonts w:ascii="Arial" w:cs="Arial" w:eastAsia="Arial" w:hAnsi="Arial"/>
          <w:sz w:val="18"/>
          <w:szCs w:val="18"/>
          <w:color w:val="auto"/>
        </w:rPr>
      </w:pPr>
    </w:p>
    <w:p>
      <w:pPr>
        <w:ind w:right="260" w:firstLine="656"/>
        <w:spacing w:after="0" w:line="279" w:lineRule="auto"/>
        <w:tabs>
          <w:tab w:leader="none" w:pos="1028" w:val="left"/>
        </w:tabs>
        <w:numPr>
          <w:ilvl w:val="1"/>
          <w:numId w:val="46"/>
        </w:numPr>
        <w:rPr>
          <w:rFonts w:ascii="Arial" w:cs="Arial" w:eastAsia="Arial" w:hAnsi="Arial"/>
          <w:sz w:val="17"/>
          <w:szCs w:val="17"/>
          <w:color w:val="auto"/>
        </w:rPr>
      </w:pPr>
      <w:r>
        <w:rPr>
          <w:rFonts w:ascii="Arial" w:cs="Arial" w:eastAsia="Arial" w:hAnsi="Arial"/>
          <w:sz w:val="17"/>
          <w:szCs w:val="17"/>
          <w:color w:val="auto"/>
        </w:rPr>
        <w:t>Counterparty shall, at least one day prior to the first day of the Relevant Period, notify BofA of the total number of Shares purchased in Rule 10b-18 purchases of blocks pursuant to the once-a-week block exception contained in Rule 10b-18(b)(4) by or for Counterparty or any of its affiliated purchasers during each of the four calendar weeks preceding the first day of the Relevant Period and during the calendar week in which the first day of the Relevant Period occurs (“Rule 10b-18 purchase”, “blocks” and “affiliated purchaser” each being used as defined in Rule 10b-18).</w:t>
      </w:r>
    </w:p>
    <w:p>
      <w:pPr>
        <w:spacing w:after="0" w:line="171" w:lineRule="exact"/>
        <w:rPr>
          <w:rFonts w:ascii="Arial" w:cs="Arial" w:eastAsia="Arial" w:hAnsi="Arial"/>
          <w:sz w:val="17"/>
          <w:szCs w:val="17"/>
          <w:color w:val="auto"/>
        </w:rPr>
      </w:pPr>
    </w:p>
    <w:p>
      <w:pPr>
        <w:ind w:right="20" w:firstLine="656"/>
        <w:spacing w:after="0" w:line="287" w:lineRule="auto"/>
        <w:tabs>
          <w:tab w:leader="none" w:pos="1038" w:val="left"/>
        </w:tabs>
        <w:numPr>
          <w:ilvl w:val="1"/>
          <w:numId w:val="46"/>
        </w:numPr>
        <w:rPr>
          <w:rFonts w:ascii="Arial" w:cs="Arial" w:eastAsia="Arial" w:hAnsi="Arial"/>
          <w:sz w:val="16"/>
          <w:szCs w:val="16"/>
          <w:color w:val="auto"/>
        </w:rPr>
      </w:pPr>
      <w:r>
        <w:rPr>
          <w:rFonts w:ascii="Arial" w:cs="Arial" w:eastAsia="Arial" w:hAnsi="Arial"/>
          <w:sz w:val="16"/>
          <w:szCs w:val="16"/>
          <w:color w:val="auto"/>
        </w:rPr>
        <w:t>During the Relevant Period, Counterparty shall (i) notify BofA prior to the opening of trading in the Shares on any day on which Counterparty makes, or expects to be made, any public announcement (as defined in Rule 165(f)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any merger, acquisition, or similar transaction involving a recapitalization relating to Counterparty (other than any such transaction in which the consideration consists solely of cash and there is no valuation period), (ii) promptly notify BofA following any such announcement that such announcement has been made, and (iii) promptly deliver to BofA following the making of any such announcement a certificate indicating (A) Counterparty’s average daily Rule 10b-18 purchases (as defined in Rule 10b-18) during the three full calendar months preceding the date of the announcement of such transaction and (B) Counterparty’s block purchases (as defined in Rule 10b-18) effected pursuant to paragraph (b)(4) of Rule 10b-18 during the three full calendar months preceding the date of the announcement of such transaction. In addition, Counterparty shall promptly notify BofA of the earlier to occur of the completion of such transaction and the completion of the vote by target shareholders. Counterparty acknowledges that any such public announcement may result in a Regulatory Disruption and may cause the Relevant Period to be suspended. Accordingly, Counterparty acknowledges that its actions in relation to any such announcement or transaction must comply with the standards set forth in Section 6(a) above.</w:t>
      </w:r>
    </w:p>
    <w:p>
      <w:pPr>
        <w:spacing w:after="0" w:line="172" w:lineRule="exact"/>
        <w:rPr>
          <w:rFonts w:ascii="Arial" w:cs="Arial" w:eastAsia="Arial" w:hAnsi="Arial"/>
          <w:sz w:val="16"/>
          <w:szCs w:val="16"/>
          <w:color w:val="auto"/>
        </w:rPr>
      </w:pPr>
    </w:p>
    <w:p>
      <w:pPr>
        <w:ind w:right="60" w:firstLine="656"/>
        <w:spacing w:after="0" w:line="257" w:lineRule="auto"/>
        <w:tabs>
          <w:tab w:leader="none" w:pos="10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Without the prior written consent of BofA, Counterparty shall not, and shall cause its Affiliates and affiliated purchasers (each as defined in Rule 10b-18) not to, directly or indirectly (including, without limitation, by means of a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for Shares during the Relevant Period.</w:t>
      </w:r>
    </w:p>
    <w:p>
      <w:pPr>
        <w:spacing w:after="0" w:line="188"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656"/>
        <w:spacing w:after="0" w:line="277" w:lineRule="auto"/>
        <w:tabs>
          <w:tab w:leader="none" w:pos="10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BofA as follows:</w:t>
      </w:r>
    </w:p>
    <w:p>
      <w:pPr>
        <w:spacing w:after="0" w:line="170" w:lineRule="exact"/>
        <w:rPr>
          <w:rFonts w:ascii="Arial" w:cs="Arial" w:eastAsia="Arial" w:hAnsi="Arial"/>
          <w:sz w:val="18"/>
          <w:szCs w:val="18"/>
          <w:color w:val="auto"/>
        </w:rPr>
      </w:pPr>
    </w:p>
    <w:p>
      <w:pPr>
        <w:ind w:left="660" w:right="40" w:firstLine="645"/>
        <w:spacing w:after="0" w:line="293" w:lineRule="auto"/>
        <w:tabs>
          <w:tab w:leader="none" w:pos="1648" w:val="left"/>
        </w:tabs>
        <w:numPr>
          <w:ilvl w:val="2"/>
          <w:numId w:val="47"/>
        </w:numPr>
        <w:rPr>
          <w:rFonts w:ascii="Arial" w:cs="Arial" w:eastAsia="Arial" w:hAnsi="Arial"/>
          <w:sz w:val="16"/>
          <w:szCs w:val="16"/>
          <w:color w:val="auto"/>
        </w:rPr>
      </w:pPr>
      <w:r>
        <w:rPr>
          <w:rFonts w:ascii="Arial" w:cs="Arial" w:eastAsia="Arial" w:hAnsi="Arial"/>
          <w:sz w:val="16"/>
          <w:szCs w:val="16"/>
          <w:color w:val="auto"/>
        </w:rPr>
        <w:t>As of the Trade Date, and as of the date of any election by Counterparty of the Share Termination Alternative under (and as defined in) Section 10(a) below,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64" w:lineRule="exact"/>
        <w:rPr>
          <w:rFonts w:ascii="Arial" w:cs="Arial" w:eastAsia="Arial" w:hAnsi="Arial"/>
          <w:sz w:val="16"/>
          <w:szCs w:val="16"/>
          <w:color w:val="auto"/>
        </w:rPr>
      </w:pPr>
    </w:p>
    <w:p>
      <w:pPr>
        <w:ind w:left="660" w:right="240" w:firstLine="645"/>
        <w:spacing w:after="0" w:line="257" w:lineRule="auto"/>
        <w:tabs>
          <w:tab w:leader="none" w:pos="1750"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BofA is not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Equity </w:t>
      </w:r>
      <w:r>
        <w:rPr>
          <w:rFonts w:ascii="Arial" w:cs="Arial" w:eastAsia="Arial" w:hAnsi="Arial"/>
          <w:sz w:val="18"/>
          <w:szCs w:val="18"/>
          <w:color w:val="auto"/>
        </w:rPr>
        <w:t>and ASC 815-40,</w:t>
      </w:r>
      <w:r>
        <w:rPr>
          <w:rFonts w:ascii="Arial" w:cs="Arial" w:eastAsia="Arial" w:hAnsi="Arial"/>
          <w:sz w:val="18"/>
          <w:szCs w:val="18"/>
          <w:i w:val="1"/>
          <w:iCs w:val="1"/>
          <w:color w:val="auto"/>
        </w:rPr>
        <w:t xml:space="preserve"> Derivatives and Hedging – Contracts in Entity’s Own Equity </w:t>
      </w:r>
      <w:r>
        <w:rPr>
          <w:rFonts w:ascii="Arial" w:cs="Arial" w:eastAsia="Arial" w:hAnsi="Arial"/>
          <w:sz w:val="18"/>
          <w:szCs w:val="18"/>
          <w:color w:val="auto"/>
        </w:rPr>
        <w:t>(or any successor issue statements) or under FASB’s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&amp; Equity Project.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25" w:right="239" w:bottom="1440" w:gutter="0" w:footer="0" w:header="0"/>
        </w:sectPr>
      </w:pPr>
    </w:p>
    <w:bookmarkStart w:id="117" w:name="page118"/>
    <w:bookmarkEnd w:id="117"/>
    <w:p>
      <w:pPr>
        <w:ind w:left="660" w:right="60" w:firstLine="645"/>
        <w:spacing w:after="0" w:line="277" w:lineRule="auto"/>
        <w:tabs>
          <w:tab w:leader="none" w:pos="1755" w:val="left"/>
        </w:tabs>
        <w:numPr>
          <w:ilvl w:val="2"/>
          <w:numId w:val="48"/>
        </w:numPr>
        <w:rPr>
          <w:rFonts w:ascii="Arial" w:cs="Arial" w:eastAsia="Arial" w:hAnsi="Arial"/>
          <w:sz w:val="18"/>
          <w:szCs w:val="18"/>
          <w:color w:val="auto"/>
        </w:rPr>
      </w:pPr>
      <w:r>
        <w:rPr>
          <w:rFonts w:ascii="Arial" w:cs="Arial" w:eastAsia="Arial" w:hAnsi="Arial"/>
          <w:sz w:val="18"/>
          <w:szCs w:val="18"/>
          <w:color w:val="auto"/>
        </w:rPr>
        <w:t>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748" w:val="left"/>
        </w:tabs>
        <w:numPr>
          <w:ilvl w:val="2"/>
          <w:numId w:val="48"/>
        </w:numPr>
        <w:rPr>
          <w:rFonts w:ascii="Arial" w:cs="Arial" w:eastAsia="Arial" w:hAnsi="Arial"/>
          <w:sz w:val="18"/>
          <w:szCs w:val="18"/>
          <w:color w:val="auto"/>
        </w:rPr>
      </w:pPr>
      <w:r>
        <w:rPr>
          <w:rFonts w:ascii="Arial" w:cs="Arial" w:eastAsia="Arial" w:hAnsi="Arial"/>
          <w:sz w:val="18"/>
          <w:szCs w:val="18"/>
          <w:color w:val="auto"/>
        </w:rPr>
        <w:t>Prior to the Trade Date, Counterparty shall deliver to BofA a resolution of Counterparty’s board of directors authorizing the Transaction and such other certificate or certificates as BofA shall reasonably request. Counterparty has publicly disclosed its intention to institute a program for the acquisition of Shares.</w:t>
      </w:r>
    </w:p>
    <w:p>
      <w:pPr>
        <w:spacing w:after="0" w:line="181" w:lineRule="exact"/>
        <w:rPr>
          <w:rFonts w:ascii="Arial" w:cs="Arial" w:eastAsia="Arial" w:hAnsi="Arial"/>
          <w:sz w:val="18"/>
          <w:szCs w:val="18"/>
          <w:color w:val="auto"/>
        </w:rPr>
      </w:pPr>
    </w:p>
    <w:p>
      <w:pPr>
        <w:ind w:left="660" w:right="20" w:firstLine="645"/>
        <w:spacing w:after="0" w:line="259" w:lineRule="auto"/>
        <w:tabs>
          <w:tab w:leader="none" w:pos="1698" w:val="left"/>
        </w:tabs>
        <w:numPr>
          <w:ilvl w:val="2"/>
          <w:numId w:val="48"/>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 will not engage in any other securities or derivative transaction to such ends.</w:t>
      </w:r>
    </w:p>
    <w:p>
      <w:pPr>
        <w:spacing w:after="0" w:line="186" w:lineRule="exact"/>
        <w:rPr>
          <w:rFonts w:ascii="Arial" w:cs="Arial" w:eastAsia="Arial" w:hAnsi="Arial"/>
          <w:sz w:val="18"/>
          <w:szCs w:val="18"/>
          <w:color w:val="auto"/>
        </w:rPr>
      </w:pPr>
    </w:p>
    <w:p>
      <w:pPr>
        <w:ind w:left="660" w:right="80" w:firstLine="645"/>
        <w:spacing w:after="0" w:line="277" w:lineRule="auto"/>
        <w:tabs>
          <w:tab w:leader="none" w:pos="1748" w:val="left"/>
        </w:tabs>
        <w:numPr>
          <w:ilvl w:val="2"/>
          <w:numId w:val="48"/>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60" w:right="20" w:firstLine="645"/>
        <w:spacing w:after="0" w:line="259" w:lineRule="auto"/>
        <w:tabs>
          <w:tab w:leader="none" w:pos="1798" w:val="left"/>
        </w:tabs>
        <w:numPr>
          <w:ilvl w:val="2"/>
          <w:numId w:val="48"/>
        </w:numPr>
        <w:rPr>
          <w:rFonts w:ascii="Arial" w:cs="Arial" w:eastAsia="Arial" w:hAnsi="Arial"/>
          <w:sz w:val="18"/>
          <w:szCs w:val="18"/>
          <w:color w:val="auto"/>
        </w:rPr>
      </w:pPr>
      <w:r>
        <w:rPr>
          <w:rFonts w:ascii="Arial" w:cs="Arial" w:eastAsia="Arial" w:hAnsi="Arial"/>
          <w:sz w:val="18"/>
          <w:szCs w:val="18"/>
          <w:color w:val="auto"/>
        </w:rPr>
        <w:t>On the Trade Date, the Prepayment Date, the Initial Share Delivery Date and the Settlement Date, Counterparty is not, or will not be, “insolvent” (as such term is defined under Section 101(32) of the U.S. Bankruptcy Code (Title 11 of the United States Code) (the “</w:t>
      </w:r>
      <w:r>
        <w:rPr>
          <w:rFonts w:ascii="Arial" w:cs="Arial" w:eastAsia="Arial" w:hAnsi="Arial"/>
          <w:sz w:val="18"/>
          <w:szCs w:val="18"/>
          <w:b w:val="1"/>
          <w:bCs w:val="1"/>
          <w:color w:val="auto"/>
        </w:rPr>
        <w:t>Bankruptcy</w:t>
      </w:r>
      <w:r>
        <w:rPr>
          <w:rFonts w:ascii="Arial" w:cs="Arial" w:eastAsia="Arial" w:hAnsi="Arial"/>
          <w:sz w:val="18"/>
          <w:szCs w:val="18"/>
          <w:color w:val="auto"/>
        </w:rPr>
        <w:t xml:space="preserve"> </w:t>
      </w:r>
      <w:r>
        <w:rPr>
          <w:rFonts w:ascii="Arial" w:cs="Arial" w:eastAsia="Arial" w:hAnsi="Arial"/>
          <w:sz w:val="18"/>
          <w:szCs w:val="18"/>
          <w:b w:val="1"/>
          <w:bCs w:val="1"/>
          <w:color w:val="auto"/>
        </w:rPr>
        <w:t>Code</w:t>
      </w:r>
      <w:r>
        <w:rPr>
          <w:rFonts w:ascii="Arial" w:cs="Arial" w:eastAsia="Arial" w:hAnsi="Arial"/>
          <w:sz w:val="18"/>
          <w:szCs w:val="18"/>
          <w:color w:val="auto"/>
        </w:rPr>
        <w:t>”)) and Counterparty would be able to purchase the Shares hereunder in compliance with the corporate laws of the jurisdiction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spacing w:after="0" w:line="186" w:lineRule="exact"/>
        <w:rPr>
          <w:rFonts w:ascii="Arial" w:cs="Arial" w:eastAsia="Arial" w:hAnsi="Arial"/>
          <w:sz w:val="18"/>
          <w:szCs w:val="18"/>
          <w:color w:val="auto"/>
        </w:rPr>
      </w:pPr>
    </w:p>
    <w:p>
      <w:pPr>
        <w:ind w:left="660" w:right="100" w:firstLine="645"/>
        <w:spacing w:after="0" w:line="264" w:lineRule="auto"/>
        <w:tabs>
          <w:tab w:leader="none" w:pos="1848" w:val="left"/>
        </w:tabs>
        <w:numPr>
          <w:ilvl w:val="2"/>
          <w:numId w:val="48"/>
        </w:numPr>
        <w:rPr>
          <w:rFonts w:ascii="Arial" w:cs="Arial" w:eastAsia="Arial" w:hAnsi="Arial"/>
          <w:sz w:val="18"/>
          <w:szCs w:val="18"/>
          <w:color w:val="auto"/>
        </w:rPr>
      </w:pPr>
      <w:r>
        <w:rPr>
          <w:rFonts w:ascii="Arial" w:cs="Arial" w:eastAsia="Arial" w:hAnsi="Arial"/>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BofA or its affiliates owning or holding (however defined) Shares.</w:t>
      </w:r>
    </w:p>
    <w:p>
      <w:pPr>
        <w:spacing w:after="0" w:line="181" w:lineRule="exact"/>
        <w:rPr>
          <w:rFonts w:ascii="Arial" w:cs="Arial" w:eastAsia="Arial" w:hAnsi="Arial"/>
          <w:sz w:val="18"/>
          <w:szCs w:val="18"/>
          <w:color w:val="auto"/>
        </w:rPr>
      </w:pPr>
    </w:p>
    <w:p>
      <w:pPr>
        <w:ind w:left="660" w:right="500" w:firstLine="645"/>
        <w:spacing w:after="0" w:line="277" w:lineRule="auto"/>
        <w:tabs>
          <w:tab w:leader="none" w:pos="1748" w:val="left"/>
        </w:tabs>
        <w:numPr>
          <w:ilvl w:val="2"/>
          <w:numId w:val="48"/>
        </w:numPr>
        <w:rPr>
          <w:rFonts w:ascii="Arial" w:cs="Arial" w:eastAsia="Arial" w:hAnsi="Arial"/>
          <w:sz w:val="18"/>
          <w:szCs w:val="18"/>
          <w:color w:val="auto"/>
        </w:rPr>
      </w:pPr>
      <w:r>
        <w:rPr>
          <w:rFonts w:ascii="Arial" w:cs="Arial" w:eastAsia="Arial" w:hAnsi="Arial"/>
          <w:sz w:val="18"/>
          <w:szCs w:val="18"/>
          <w:color w:val="auto"/>
        </w:rPr>
        <w:t>Counterparty shall not declare or pay any Dividend (as defined above) to holders of record as of any date occurring prior to the Settlement Date or, if the provisions of Annex A apply, the Cash Settlement Payment Date.</w:t>
      </w:r>
    </w:p>
    <w:p>
      <w:pPr>
        <w:spacing w:after="0" w:line="170" w:lineRule="exact"/>
        <w:rPr>
          <w:rFonts w:ascii="Arial" w:cs="Arial" w:eastAsia="Arial" w:hAnsi="Arial"/>
          <w:sz w:val="18"/>
          <w:szCs w:val="18"/>
          <w:color w:val="auto"/>
        </w:rPr>
      </w:pPr>
    </w:p>
    <w:p>
      <w:pPr>
        <w:ind w:left="660" w:right="440" w:firstLine="645"/>
        <w:spacing w:after="0" w:line="277" w:lineRule="auto"/>
        <w:tabs>
          <w:tab w:leader="none" w:pos="1698" w:val="left"/>
        </w:tabs>
        <w:numPr>
          <w:ilvl w:val="2"/>
          <w:numId w:val="48"/>
        </w:numPr>
        <w:rPr>
          <w:rFonts w:ascii="Arial" w:cs="Arial" w:eastAsia="Arial" w:hAnsi="Arial"/>
          <w:sz w:val="18"/>
          <w:szCs w:val="18"/>
          <w:color w:val="auto"/>
        </w:rPr>
      </w:pPr>
      <w:r>
        <w:rPr>
          <w:rFonts w:ascii="Arial" w:cs="Arial" w:eastAsia="Arial" w:hAnsi="Arial"/>
          <w:sz w:val="18"/>
          <w:szCs w:val="18"/>
          <w:color w:val="auto"/>
        </w:rPr>
        <w:t>Counterparty understands no obligations of BofA to it hereunder will be entitled to the benefit of deposit insurance and that such obligations will not be guaranteed by any affiliate of BofA or any governmental agency.</w:t>
      </w:r>
    </w:p>
    <w:p>
      <w:pPr>
        <w:spacing w:after="0" w:line="170" w:lineRule="exact"/>
        <w:rPr>
          <w:rFonts w:ascii="Arial" w:cs="Arial" w:eastAsia="Arial" w:hAnsi="Arial"/>
          <w:sz w:val="18"/>
          <w:szCs w:val="18"/>
          <w:color w:val="auto"/>
        </w:rPr>
      </w:pPr>
    </w:p>
    <w:p>
      <w:pPr>
        <w:ind w:left="660" w:right="260" w:firstLine="645"/>
        <w:spacing w:after="0" w:line="342" w:lineRule="auto"/>
        <w:tabs>
          <w:tab w:leader="none" w:pos="1748" w:val="left"/>
        </w:tabs>
        <w:numPr>
          <w:ilvl w:val="2"/>
          <w:numId w:val="48"/>
        </w:numPr>
        <w:rPr>
          <w:rFonts w:ascii="Arial" w:cs="Arial" w:eastAsia="Arial" w:hAnsi="Arial"/>
          <w:sz w:val="16"/>
          <w:szCs w:val="16"/>
          <w:color w:val="auto"/>
        </w:rPr>
      </w:pPr>
      <w:r>
        <w:rPr>
          <w:rFonts w:ascii="Arial" w:cs="Arial" w:eastAsia="Arial" w:hAnsi="Arial"/>
          <w:sz w:val="16"/>
          <w:szCs w:val="16"/>
          <w:color w:val="auto"/>
        </w:rPr>
        <w:t>Counterparty is (i) a corporation for U.S. federal income tax purposes and is organized under the laws of Delaware and (ii) a “U.S. person” (as that term is used in section 1.1441-4(a)(3)(ii) of United States Treasury Regulations) for U.S. federal income tax purposes.</w:t>
      </w:r>
    </w:p>
    <w:p>
      <w:pPr>
        <w:spacing w:after="0" w:line="123" w:lineRule="exact"/>
        <w:rPr>
          <w:rFonts w:ascii="Arial" w:cs="Arial" w:eastAsia="Arial" w:hAnsi="Arial"/>
          <w:sz w:val="16"/>
          <w:szCs w:val="16"/>
          <w:color w:val="auto"/>
        </w:rPr>
      </w:pPr>
    </w:p>
    <w:p>
      <w:pPr>
        <w:ind w:right="560" w:firstLine="656"/>
        <w:spacing w:after="0" w:line="277" w:lineRule="auto"/>
        <w:tabs>
          <w:tab w:leader="none" w:pos="103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of BofA and Counterparty agrees and represents that it is an “eligible contract participant” as defined in Section 1a(18) of the U.S. Commodity Exchange Act, as amended.</w:t>
      </w:r>
    </w:p>
    <w:p>
      <w:pPr>
        <w:spacing w:after="0" w:line="170" w:lineRule="exact"/>
        <w:rPr>
          <w:rFonts w:ascii="Arial" w:cs="Arial" w:eastAsia="Arial" w:hAnsi="Arial"/>
          <w:sz w:val="18"/>
          <w:szCs w:val="18"/>
          <w:color w:val="auto"/>
        </w:rPr>
      </w:pPr>
    </w:p>
    <w:p>
      <w:pPr>
        <w:ind w:firstLine="656"/>
        <w:spacing w:after="0" w:line="286" w:lineRule="auto"/>
        <w:tabs>
          <w:tab w:leader="none" w:pos="1028" w:val="left"/>
        </w:tabs>
        <w:numPr>
          <w:ilvl w:val="1"/>
          <w:numId w:val="49"/>
        </w:numPr>
        <w:rPr>
          <w:rFonts w:ascii="Arial" w:cs="Arial" w:eastAsia="Arial" w:hAnsi="Arial"/>
          <w:sz w:val="16"/>
          <w:szCs w:val="16"/>
          <w:color w:val="auto"/>
        </w:rPr>
      </w:pPr>
      <w:r>
        <w:rPr>
          <w:rFonts w:ascii="Arial" w:cs="Arial" w:eastAsia="Arial" w:hAnsi="Arial"/>
          <w:sz w:val="16"/>
          <w:szCs w:val="16"/>
          <w:color w:val="auto"/>
        </w:rPr>
        <w:t>Counterparty acknowledges that the offer and sale of the Transaction to it is intended to be exempt from registration under the Securities Act, by virtue of Section 4(2) thereof. Accordingly, Counterparty represents and warrants to BofA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and without a view to the distribution or resale thereof, and</w:t>
      </w:r>
    </w:p>
    <w:p>
      <w:pPr>
        <w:spacing w:after="0" w:line="1" w:lineRule="exact"/>
        <w:rPr>
          <w:rFonts w:ascii="Arial" w:cs="Arial" w:eastAsia="Arial" w:hAnsi="Arial"/>
          <w:sz w:val="16"/>
          <w:szCs w:val="16"/>
          <w:color w:val="auto"/>
        </w:rPr>
      </w:pPr>
    </w:p>
    <w:p>
      <w:pPr>
        <w:ind w:right="40" w:firstLine="8"/>
        <w:spacing w:after="0" w:line="261" w:lineRule="auto"/>
        <w:tabs>
          <w:tab w:leader="none" w:pos="3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assignment, transfer or other disposition of the Transaction has not been and will not be registered under the Securities Act and is restricted under this Confirmation, the Securities Act and state securities laws.</w:t>
      </w:r>
    </w:p>
    <w:p>
      <w:pPr>
        <w:spacing w:after="0" w:line="183" w:lineRule="exact"/>
        <w:rPr>
          <w:rFonts w:ascii="Arial" w:cs="Arial" w:eastAsia="Arial" w:hAnsi="Arial"/>
          <w:sz w:val="18"/>
          <w:szCs w:val="18"/>
          <w:color w:val="auto"/>
        </w:rPr>
      </w:pPr>
    </w:p>
    <w:p>
      <w:pPr>
        <w:jc w:val="both"/>
        <w:ind w:right="40" w:firstLine="656"/>
        <w:spacing w:after="0" w:line="291" w:lineRule="auto"/>
        <w:tabs>
          <w:tab w:leader="none" w:pos="1038" w:val="left"/>
        </w:tabs>
        <w:numPr>
          <w:ilvl w:val="1"/>
          <w:numId w:val="50"/>
        </w:numPr>
        <w:rPr>
          <w:rFonts w:ascii="Arial" w:cs="Arial" w:eastAsia="Arial" w:hAnsi="Arial"/>
          <w:sz w:val="16"/>
          <w:szCs w:val="16"/>
          <w:color w:val="auto"/>
        </w:rPr>
      </w:pPr>
      <w:r>
        <w:rPr>
          <w:rFonts w:ascii="Arial" w:cs="Arial" w:eastAsia="Arial" w:hAnsi="Arial"/>
          <w:sz w:val="16"/>
          <w:szCs w:val="16"/>
          <w:color w:val="auto"/>
        </w:rPr>
        <w:t>Counterparty agrees and acknowledges that BofA is a “financial institution,” “swap participant” and “financial participant” within the meaning of Sections 101(22), 101(53C) and 101(22A) of the Bankruptcy Code. The parties hereto further agree and acknowledge that it is the intent of the parties that</w:t>
      </w: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 this Confirmation is (i) a “securities contract,” as such term is defined in Section 741(7) of the Bankruptcy Code, with respect to which each payment and delivery hereunder or in connection herewith is a “termination value,” “payment amount” or “other transfer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25" w:right="259" w:bottom="1440" w:gutter="0" w:footer="0" w:header="0"/>
        </w:sectPr>
      </w:pPr>
    </w:p>
    <w:bookmarkStart w:id="118" w:name="page119"/>
    <w:bookmarkEnd w:id="118"/>
    <w:p>
      <w:pPr>
        <w:ind w:right="140"/>
        <w:spacing w:after="0" w:line="285" w:lineRule="auto"/>
        <w:rPr>
          <w:sz w:val="20"/>
          <w:szCs w:val="20"/>
          <w:color w:val="auto"/>
        </w:rPr>
      </w:pPr>
      <w:r>
        <w:rPr>
          <w:rFonts w:ascii="Arial" w:cs="Arial" w:eastAsia="Arial" w:hAnsi="Arial"/>
          <w:sz w:val="16"/>
          <w:szCs w:val="16"/>
          <w:color w:val="auto"/>
        </w:rPr>
        <w:t>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other transfer of property” within the meaning of Sections 362 and 546 of the Bankruptcy Code, and (B) BofA is entitled to the protections afforded by, among other sections, Sections 362(b)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 362(b)(17), 362(o), 546(e), 546(g), 548(d)(2), 555, 560 and 561 of the Bankruptcy Code.</w:t>
      </w:r>
    </w:p>
    <w:p>
      <w:pPr>
        <w:spacing w:after="0" w:line="211" w:lineRule="exact"/>
        <w:rPr>
          <w:sz w:val="20"/>
          <w:szCs w:val="20"/>
          <w:color w:val="auto"/>
        </w:rPr>
      </w:pPr>
    </w:p>
    <w:p>
      <w:pPr>
        <w:ind w:left="660" w:right="6940" w:hanging="652"/>
        <w:spacing w:after="0" w:line="563" w:lineRule="auto"/>
        <w:tabs>
          <w:tab w:leader="none" w:pos="32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Agreements and Acknowledgements Regarding Hedging</w:t>
      </w:r>
      <w:r>
        <w:rPr>
          <w:rFonts w:ascii="Arial" w:cs="Arial" w:eastAsia="Arial" w:hAnsi="Arial"/>
          <w:sz w:val="16"/>
          <w:szCs w:val="16"/>
          <w:color w:val="auto"/>
        </w:rPr>
        <w:t>. Counterparty acknowledges and agrees that:</w:t>
      </w:r>
    </w:p>
    <w:p>
      <w:pPr>
        <w:spacing w:after="0" w:line="1" w:lineRule="exact"/>
        <w:rPr>
          <w:rFonts w:ascii="Arial" w:cs="Arial" w:eastAsia="Arial" w:hAnsi="Arial"/>
          <w:sz w:val="16"/>
          <w:szCs w:val="16"/>
          <w:color w:val="auto"/>
        </w:rPr>
      </w:pPr>
    </w:p>
    <w:p>
      <w:pPr>
        <w:ind w:firstLine="656"/>
        <w:spacing w:after="0" w:line="277" w:lineRule="auto"/>
        <w:tabs>
          <w:tab w:leader="none" w:pos="10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During the Relevant Period, BofA and its Affiliates may buy or sell Shares or other securities or buy or sell options or futures contracts or enter into swaps or other derivative securities in order to adjust its hedge position with respect to the Transaction;</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BofA and its Affiliates also may be active in the market for Shares other than in connection with hedging activities in relation to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Transaction;</w:t>
      </w:r>
    </w:p>
    <w:p>
      <w:pPr>
        <w:spacing w:after="0" w:line="210" w:lineRule="exact"/>
        <w:rPr>
          <w:rFonts w:ascii="Arial" w:cs="Arial" w:eastAsia="Arial" w:hAnsi="Arial"/>
          <w:sz w:val="18"/>
          <w:szCs w:val="18"/>
          <w:color w:val="auto"/>
        </w:rPr>
      </w:pPr>
    </w:p>
    <w:p>
      <w:pPr>
        <w:ind w:right="280" w:firstLine="656"/>
        <w:spacing w:after="0" w:line="264" w:lineRule="auto"/>
        <w:tabs>
          <w:tab w:leader="none" w:pos="10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BofA shall make its own determination as to whether, when or in what manner any hedging or market activities in Counterparty’s securities shall be conducted and shall do so in a manner that it deems appropriate to hedge its price and market risk with respect to the Settlement Price and/or the VWAP Price; and</w:t>
      </w:r>
    </w:p>
    <w:p>
      <w:pPr>
        <w:spacing w:after="0" w:line="181" w:lineRule="exact"/>
        <w:rPr>
          <w:rFonts w:ascii="Arial" w:cs="Arial" w:eastAsia="Arial" w:hAnsi="Arial"/>
          <w:sz w:val="18"/>
          <w:szCs w:val="18"/>
          <w:color w:val="auto"/>
        </w:rPr>
      </w:pPr>
    </w:p>
    <w:p>
      <w:pPr>
        <w:ind w:right="480" w:firstLine="656"/>
        <w:spacing w:after="0" w:line="277" w:lineRule="auto"/>
        <w:tabs>
          <w:tab w:leader="none" w:pos="10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market activities of BofA and its Affiliates with respect to Shares may affect the market price and volatility of Shares, as well as the Settlement Price and/or the VWAP Price, each in a manner that may be adverse to Counterparty.</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Special Provisions regarding Transaction Announcements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255" w:lineRule="auto"/>
        <w:tabs>
          <w:tab w:leader="none" w:pos="1028"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a Transaction Announcement occurs on or prior to the Settlement Date, the Calculation Agent shall make such adjustment to the exercise, settlement, payment or any of the other terms of the Transaction (including without limitation, the Settlement Price and the Price Adjustment Amount) as the Calculation Agent determines in good faith appropriate to account for the economic effect of the Transaction Announcement (and, for the avoidance of doubt, in such event the Number of Shares to be Delivered may be reduced below zero pursuant to the proviso to such definition). If a Transaction Announcement occurs after the Trade Date but prior to the Scheduled Earliest Acceleration Date, the Scheduled Earliest Acceleration Date shall be adjusted to be the date of such Transaction Announcement.</w:t>
      </w:r>
    </w:p>
    <w:p>
      <w:pPr>
        <w:spacing w:after="0" w:line="189" w:lineRule="exact"/>
        <w:rPr>
          <w:rFonts w:ascii="Arial" w:cs="Arial" w:eastAsia="Arial" w:hAnsi="Arial"/>
          <w:sz w:val="18"/>
          <w:szCs w:val="18"/>
          <w:color w:val="auto"/>
        </w:rPr>
      </w:pPr>
    </w:p>
    <w:p>
      <w:pPr>
        <w:ind w:right="40" w:firstLine="656"/>
        <w:spacing w:after="0" w:line="256" w:lineRule="auto"/>
        <w:tabs>
          <w:tab w:leader="none" w:pos="1038"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Announcement</w:t>
      </w:r>
      <w:r>
        <w:rPr>
          <w:rFonts w:ascii="Arial" w:cs="Arial" w:eastAsia="Arial" w:hAnsi="Arial"/>
          <w:sz w:val="18"/>
          <w:szCs w:val="18"/>
          <w:color w:val="auto"/>
        </w:rPr>
        <w:t>” means (i) the announcement of an Acquisition Transaction, (ii) an announcement that Counterparty or any of its subsidiaries has entered into an agreement, a letter of intent or an understanding to enter into an Acquisition Transaction, (iii) the announcement of an intention to solicit or enter into, or to explore strategic alternatives or other similar undertaking that may include, an Acquisition Transaction, or (iv) any other announcement that in the good faith and commercially reasonable judgment of the Calculation Agent may result in an Acquisition Transaction. For the avoidance of doubt, announcements as used in this definition of Transaction Announcement refer to any public announcement whether made by the Issuer or a third party.</w:t>
      </w:r>
    </w:p>
    <w:p>
      <w:pPr>
        <w:spacing w:after="0" w:line="188"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Transaction</w:t>
      </w:r>
      <w:r>
        <w:rPr>
          <w:rFonts w:ascii="Arial" w:cs="Arial" w:eastAsia="Arial" w:hAnsi="Arial"/>
          <w:sz w:val="16"/>
          <w:szCs w:val="16"/>
          <w:color w:val="auto"/>
        </w:rPr>
        <w:t>” means (i) any Merger Event (and for purposes of this definition the definition of Merger Event shall be read with the references therein to “100%” being replaced by “15%” and to “50%” by “85%” and as if the clause beginning immediately following the definition of Reverse Merger therein to the end of such definition were deleted) or Tender Offer, or any other transaction involving the merger of Counterparty with or into any third party, (ii) the sale or transfer of all or substantially all of the assets of Counterparty, (iii) a recapitalization, reclassification, binding share exchange or other similar transaction, (iv) any acquisition, lease, exchange, transfer, disposition (including by way of spin-off or distribution) of assets (including any capital stock or other ownership interests in subsidiaries) or other similar event by Counterparty or any of its subsidiaries where the aggregate consideration transferable or receivable by or to Counterparty or its subsidiaries exceeds 15% of the market capitalization of Counterparty and (v) any transaction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25" w:right="239" w:bottom="1440" w:gutter="0" w:footer="0" w:header="0"/>
        </w:sectPr>
      </w:pPr>
    </w:p>
    <w:bookmarkStart w:id="119" w:name="page120"/>
    <w:bookmarkEnd w:id="119"/>
    <w:p>
      <w:pPr>
        <w:ind w:right="280"/>
        <w:spacing w:after="0" w:line="277" w:lineRule="auto"/>
        <w:rPr>
          <w:sz w:val="20"/>
          <w:szCs w:val="20"/>
          <w:color w:val="auto"/>
        </w:rPr>
      </w:pPr>
      <w:r>
        <w:rPr>
          <w:rFonts w:ascii="Arial" w:cs="Arial" w:eastAsia="Arial" w:hAnsi="Arial"/>
          <w:sz w:val="18"/>
          <w:szCs w:val="18"/>
          <w:color w:val="auto"/>
        </w:rPr>
        <w:t>in which Counterparty or its board of directors has a legal obligation to make a recommendation to its shareholders in respect of such transaction (whether pursuant to Rule 14e-2 under the Exchange Act or otherwise).</w:t>
      </w:r>
    </w:p>
    <w:p>
      <w:pPr>
        <w:spacing w:after="0" w:line="170"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85" w:lineRule="auto"/>
        <w:tabs>
          <w:tab w:leader="none" w:pos="1025"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either party would owe the other party</w:t>
      </w:r>
      <w:r>
        <w:rPr>
          <w:rFonts w:ascii="Arial" w:cs="Arial" w:eastAsia="Arial" w:hAnsi="Arial"/>
          <w:sz w:val="16"/>
          <w:szCs w:val="16"/>
          <w:i w:val="1"/>
          <w:iCs w:val="1"/>
          <w:color w:val="auto"/>
        </w:rPr>
        <w:t xml:space="preserve"> </w:t>
      </w:r>
      <w:r>
        <w:rPr>
          <w:rFonts w:ascii="Arial" w:cs="Arial" w:eastAsia="Arial" w:hAnsi="Arial"/>
          <w:sz w:val="16"/>
          <w:szCs w:val="16"/>
          <w:color w:val="auto"/>
        </w:rPr>
        <w:t>any amount pursuant to Sections 12.2, 12.3, 12.6, 12.7 or 12.9 of the Equity Definitions or pursuant to Section 6(d)(ii) of the Agreement (a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w:t>
      </w:r>
      <w:r>
        <w:rPr>
          <w:rFonts w:ascii="Arial" w:cs="Arial" w:eastAsia="Arial" w:hAnsi="Arial"/>
          <w:sz w:val="16"/>
          <w:szCs w:val="16"/>
          <w:color w:val="auto"/>
        </w:rPr>
        <w:t>”), Counterparty shall have the right, in its sole discretion, to satisfy or to require BofA to satisfy, as the case may be, any such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in whole or in part, by the Share Termination Alternative (as defined below) by giving irrevocable telephonic notice to BofA, confirmed in writing within one Scheduled Trading Day, no later than 9:30 A.M. New York City time on the Merger Date, Tender Offer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BofA would owe Counterparty the Payment Obligation and Counterparty does not elect to require BofA to satisfy such Payment Obligation by the Share Termination Alternative in whole, BofA shall have the right, in its sole discretion, to elect to satisfy any portion of such Payment Obligation that Counterparty has not so elected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BofA shall have the right to so elect) in the event of (i) an Insolvency, a Nationalization, a Merger Event or a Tender Offer, in each case, in which the consideration or proceeds to be paid to holders of Shares consists solely of cash or (ii) an Event of Default in which Counterparty is the Defaulting Party or a Termination Event in which Counterparty is the Affected Party, which Event of Default or Termination Event resulted from an event or events within Counterparty’s control. Upon such Notice of Share Termination, the following provisions shall apply on the Scheduled Trading Day immediately following the Merger Date, Tender Offer Date, Announcement Date, Early Termination Date or date of cancellation or termination in respect of an Extraordinary Event, as applicable, with respect to the Payment Obligation or such portion of the Payment Obligation for which the Share Termination Alternative has been elected (the “</w:t>
      </w:r>
      <w:r>
        <w:rPr>
          <w:rFonts w:ascii="Arial" w:cs="Arial" w:eastAsia="Arial" w:hAnsi="Arial"/>
          <w:sz w:val="16"/>
          <w:szCs w:val="16"/>
          <w:b w:val="1"/>
          <w:bCs w:val="1"/>
          <w:color w:val="auto"/>
        </w:rPr>
        <w:t>Applicable Portion</w:t>
      </w:r>
      <w:r>
        <w:rPr>
          <w:rFonts w:ascii="Arial" w:cs="Arial" w:eastAsia="Arial" w:hAnsi="Arial"/>
          <w:sz w:val="16"/>
          <w:szCs w:val="16"/>
          <w:color w:val="auto"/>
        </w:rPr>
        <w:t>”):</w:t>
      </w:r>
    </w:p>
    <w:p>
      <w:pPr>
        <w:sectPr>
          <w:pgSz w:w="11900" w:h="16838" w:orient="portrait"/>
          <w:cols w:equalWidth="0" w:num="1">
            <w:col w:w="11400"/>
          </w:cols>
          <w:pgMar w:left="240" w:top="625" w:right="25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Applicable and means, if delivery pursuant to the Share Termination Alternative is owed by BofA, that BofA shall deliver to Counterparty the Share Termination Delivery Property on the date on which the Payment Obligation would otherwise be due pursuant to Section 12.7 or 12.9 of the Equity Definitions or Section 6(d)(ii) of the Agreement, as applicable, or such later date as the Calculation Agent may reasonably determine (the “</w:t>
      </w:r>
      <w:r>
        <w:rPr>
          <w:rFonts w:ascii="Arial" w:cs="Arial" w:eastAsia="Arial" w:hAnsi="Arial"/>
          <w:sz w:val="17"/>
          <w:szCs w:val="17"/>
          <w:b w:val="1"/>
          <w:bCs w:val="1"/>
          <w:color w:val="auto"/>
        </w:rPr>
        <w:t>Share Termination Payment Date</w:t>
      </w:r>
      <w:r>
        <w:rPr>
          <w:rFonts w:ascii="Arial" w:cs="Arial" w:eastAsia="Arial" w:hAnsi="Arial"/>
          <w:sz w:val="17"/>
          <w:szCs w:val="17"/>
          <w:color w:val="auto"/>
        </w:rPr>
        <w:t xml:space="preserve">”), in satisfaction of the Payment Obligation or the Applicable Portion, as the case may be. If delivery pursuant to the Share Termination Alternative is owed by Counterparty, paragraphs 2 through 5 of Annex A shall apply as if such delivery were a settlement of the Transaction to which Net Share Settlement (as defined in Annex A) applied, the Cash Settlement Payment Date were the Early Termination Date, the Forward Cash Settlement Amount were zero (0)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Payment Obligation (or the Applicable Portion, as the case may be) owed by Counterparty, and “Shares” as used in Annex A were replaced by “Share Termination Delivery Units.”</w:t>
      </w:r>
    </w:p>
    <w:p>
      <w:pPr>
        <w:spacing w:after="0" w:line="178" w:lineRule="exact"/>
        <w:rPr>
          <w:sz w:val="20"/>
          <w:szCs w:val="20"/>
          <w:color w:val="auto"/>
        </w:rPr>
      </w:pPr>
    </w:p>
    <w:p>
      <w:pPr>
        <w:sectPr>
          <w:pgSz w:w="11900" w:h="16838" w:orient="portrait"/>
          <w:cols w:equalWidth="0" w:num="2">
            <w:col w:w="2240" w:space="360"/>
            <w:col w:w="8800"/>
          </w:cols>
          <w:pgMar w:left="240" w:top="625" w:right="2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Share Termination Delivery Property: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number of Share Termination Delivery Units, as calculated by the Calculation Agent, equal to the Payment Obligation (or the Applicable Portion, as the case may be)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154" w:lineRule="exact"/>
        <w:rPr>
          <w:sz w:val="20"/>
          <w:szCs w:val="20"/>
          <w:color w:val="auto"/>
        </w:rPr>
      </w:pPr>
    </w:p>
    <w:p>
      <w:pPr>
        <w:sectPr>
          <w:pgSz w:w="11900" w:h="16838" w:orient="portrait"/>
          <w:cols w:equalWidth="0" w:num="2">
            <w:col w:w="2020" w:space="580"/>
            <w:col w:w="8800"/>
          </w:cols>
          <w:pgMar w:left="240" w:top="625"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The value of property contained in one Share Termination Delivery Unit on the date such Share Termination Delivery Units are to be delivered as Share Termination Delivery Property, as determined by the Calculation Agent in its discretion by commercially reasonable means and notified by the Calculation Agent to the parties at the time of notification of the Payment Obligation.</w:t>
      </w:r>
    </w:p>
    <w:p>
      <w:pPr>
        <w:spacing w:after="0" w:line="200" w:lineRule="exact"/>
        <w:rPr>
          <w:sz w:val="20"/>
          <w:szCs w:val="20"/>
          <w:color w:val="auto"/>
        </w:rPr>
      </w:pPr>
    </w:p>
    <w:p>
      <w:pPr>
        <w:sectPr>
          <w:pgSz w:w="11900" w:h="16838" w:orient="portrait"/>
          <w:cols w:equalWidth="0" w:num="2">
            <w:col w:w="2180" w:space="420"/>
            <w:col w:w="8800"/>
          </w:cols>
          <w:pgMar w:left="240" w:top="625" w:right="259" w:bottom="144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625" w:right="259" w:bottom="1440" w:gutter="0" w:footer="0" w:header="0"/>
          <w:type w:val="continuous"/>
        </w:sectPr>
      </w:pPr>
    </w:p>
    <w:bookmarkStart w:id="120" w:name="page121"/>
    <w:bookmarkEnd w:id="120"/>
    <w:p>
      <w:pPr>
        <w:spacing w:after="0"/>
        <w:tabs>
          <w:tab w:leader="none" w:pos="2580" w:val="left"/>
        </w:tabs>
        <w:rPr>
          <w:sz w:val="20"/>
          <w:szCs w:val="20"/>
          <w:color w:val="auto"/>
        </w:rPr>
      </w:pPr>
      <w:r>
        <w:rPr>
          <w:rFonts w:ascii="Arial" w:cs="Arial" w:eastAsia="Arial" w:hAnsi="Arial"/>
          <w:sz w:val="18"/>
          <w:szCs w:val="18"/>
          <w:color w:val="auto"/>
        </w:rPr>
        <w:t>Share Termination Delivery Unit:</w:t>
      </w:r>
      <w:r>
        <w:rPr>
          <w:sz w:val="20"/>
          <w:szCs w:val="20"/>
          <w:color w:val="auto"/>
        </w:rPr>
        <w:tab/>
      </w:r>
      <w:r>
        <w:rPr>
          <w:rFonts w:ascii="Arial" w:cs="Arial" w:eastAsia="Arial" w:hAnsi="Arial"/>
          <w:sz w:val="16"/>
          <w:szCs w:val="16"/>
          <w:color w:val="auto"/>
        </w:rPr>
        <w:t>In the case of a Termination Event, Event of Default, Delisting or Additional Disruption Event, one Share or, in the case</w:t>
      </w:r>
    </w:p>
    <w:p>
      <w:pPr>
        <w:spacing w:after="0" w:line="23" w:lineRule="exact"/>
        <w:rPr>
          <w:sz w:val="20"/>
          <w:szCs w:val="20"/>
          <w:color w:val="auto"/>
        </w:rPr>
      </w:pPr>
    </w:p>
    <w:p>
      <w:pPr>
        <w:jc w:val="both"/>
        <w:ind w:left="2600"/>
        <w:spacing w:after="0" w:line="292" w:lineRule="auto"/>
        <w:rPr>
          <w:sz w:val="20"/>
          <w:szCs w:val="20"/>
          <w:color w:val="auto"/>
        </w:rPr>
      </w:pPr>
      <w:r>
        <w:rPr>
          <w:rFonts w:ascii="Arial" w:cs="Arial" w:eastAsia="Arial" w:hAnsi="Arial"/>
          <w:sz w:val="16"/>
          <w:szCs w:val="16"/>
          <w:color w:val="auto"/>
        </w:rPr>
        <w:t>of an Insolvency, Nationalization, Merger Event or Tender Offer, one Share or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 Tender Offer involves a choice of consideration to be received by holders, such holder shall be deemed to have elected to receive the maximum possible amount of cash.</w:t>
      </w:r>
    </w:p>
    <w:p>
      <w:pPr>
        <w:sectPr>
          <w:pgSz w:w="11900" w:h="16838" w:orient="portrait"/>
          <w:cols w:equalWidth="0" w:num="1">
            <w:col w:w="11400"/>
          </w:cols>
          <w:pgMar w:left="240" w:top="625" w:right="25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1880" w:space="720"/>
            <w:col w:w="8800"/>
          </w:cols>
          <w:pgMar w:left="240" w:top="625"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Share Termination Alternative is applicable, the provisions of Sections 9.8, 9.9, 9.10,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Counterparty is the issuer of the Shares or any portion of the Share Termination Delivery Units) and 9.12 of the Equity Definitions will be applicable as if “Physical Settlement” applied to the Transaction, except that all references to “Shares” shall be read as references to “Share Termination Delivery Units”.</w:t>
      </w:r>
    </w:p>
    <w:p>
      <w:pPr>
        <w:spacing w:after="0" w:line="165" w:lineRule="exact"/>
        <w:rPr>
          <w:sz w:val="20"/>
          <w:szCs w:val="20"/>
          <w:color w:val="auto"/>
        </w:rPr>
      </w:pPr>
    </w:p>
    <w:p>
      <w:pPr>
        <w:sectPr>
          <w:pgSz w:w="11900" w:h="16838" w:orient="portrait"/>
          <w:cols w:equalWidth="0" w:num="2">
            <w:col w:w="2040" w:space="560"/>
            <w:col w:w="8800"/>
          </w:cols>
          <w:pgMar w:left="240" w:top="625" w:right="259" w:bottom="1440" w:gutter="0" w:footer="0" w:header="0"/>
          <w:type w:val="continuous"/>
        </w:sectPr>
      </w:pPr>
    </w:p>
    <w:p>
      <w:pPr>
        <w:ind w:right="160" w:firstLine="656"/>
        <w:spacing w:after="0" w:line="297" w:lineRule="auto"/>
        <w:tabs>
          <w:tab w:leader="none" w:pos="1038"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Equity Rights. </w:t>
      </w:r>
      <w:r>
        <w:rPr>
          <w:rFonts w:ascii="Arial" w:cs="Arial" w:eastAsia="Arial" w:hAnsi="Arial"/>
          <w:sz w:val="16"/>
          <w:szCs w:val="16"/>
          <w:color w:val="auto"/>
        </w:rPr>
        <w:t>BofA acknowledges and agrees that this Confirmation is not intended to convey to it rights with respect to the Transaction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this Confirmation is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firstLine="656"/>
        <w:spacing w:after="0" w:line="267" w:lineRule="auto"/>
        <w:tabs>
          <w:tab w:leader="none" w:pos="1028"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In the event that BofA or the Calculation Agent or any of their Affiliates becomes involved in any capacity in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or investigation brought by or against any person in connection with any matter referred to in this Confirmation, Counterparty shall reimburse BofA or the Calculation Agent or such Affiliate for its reasonable legal and other out-of-pocket expenses (including the cost of any investigation and preparation) incurred in connection therewith within 30 days of receipt of notice of such expenses, and shall indemnify and hold BofA or the Calculation Agent or such Affiliate harmless on an after-tax basis against any losses, claims, damages or liabilities to which BofA or the Calculation Agent or such Affiliate may become subject in connection with any such action, proceeding or investigation, except to the extent it is finally judicially determined that such losses, claims, damages, or liabilities result from gross negligence or bad faith of BofA or the Calculation Agent or a breach by BofA or the Calculation Agent of any of its covenants or obligations hereunder. If for any reason the foregoing indemnification is unavailable to BofA or the Calculation Agent or such Affiliate or insufficient to hold it harmless, then Counterparty shall contribute to the amount paid or payable by BofA or the Calculation Agent or such Affiliate as a result of such losses, claims, damages or liabilities (i) in such proportion as is appropriate to reflect the relative benefits received by Counterparty on the one hand and BofA or the Calculation Agent or such Affiliate on the other hand in the matters contemplated by this Confirmation or (ii) if the allocation provided by clause (i) above is not permitted by applicable law, in such proportion as is appropriate to reflect not only the relative benefits received by Counterparty on the one hand and BofA or the Calculation Agent or such Affiliate on the other hand in the matters contemplated by this Confirmation but also the relative fault of Counterparty and BofA or the Calculation Agent or such Affiliate with respect to such losses, claims, damages or liabilities and any other relevant equitable considerations. The relative benefits received by Counterparty, on the one hand, and BofA or the Calculation Agent or such Affiliate, on the other hand, shall be in the same proportion as the Prepayment Amount bears to the customary brokerage commission for share repurchases multiplied by the Number of Shares to be Delivered, which number may be estimated for purposes of this sentence if the relative benefits are calculated prior to the final determination of the Number of Shares to be Delivered. The reimbursement, indemnity and contribution obligations of Counterparty under this Section 10(c) shall be in addition to any liability that Counterparty may otherwise have, shall extend upon the same terms and conditions to the partners,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25" w:right="259" w:bottom="1440" w:gutter="0" w:footer="0" w:header="0"/>
          <w:type w:val="continuous"/>
        </w:sectPr>
      </w:pPr>
    </w:p>
    <w:bookmarkStart w:id="121" w:name="page122"/>
    <w:bookmarkEnd w:id="121"/>
    <w:p>
      <w:pPr>
        <w:ind w:right="80"/>
        <w:spacing w:after="0" w:line="255" w:lineRule="auto"/>
        <w:rPr>
          <w:sz w:val="20"/>
          <w:szCs w:val="20"/>
          <w:color w:val="auto"/>
        </w:rPr>
      </w:pPr>
      <w:r>
        <w:rPr>
          <w:rFonts w:ascii="Arial" w:cs="Arial" w:eastAsia="Arial" w:hAnsi="Arial"/>
          <w:sz w:val="18"/>
          <w:szCs w:val="18"/>
          <w:color w:val="auto"/>
        </w:rPr>
        <w:t>directors, officers, agents, employees and controlling persons (if any), as the case may be, of BofA or the Calculation Agent and their Affiliates and shall be binding upon and inure to the benefit of any successors, assigns, heirs and personal representatives of Counterparty, BofA or the Calculation Agent, any such Affiliate and any such person. Counterparty also agrees that neither BofA, the Calculation Agent nor any of such Affiliates, partners, directors, officers, agents, employees or controlling persons shall have any liability to Counterparty for or in connection with any matter referred to in this Confirmation except to the extent that any losses, claims, damages, liabilities or expenses incurred by Counterparty result from the gross negligence or bad faith of BofA or the Calculation Agent or a breach by BofA or the Calculation Agent of any of its covenants or obligations hereunder. The foregoing provisions shall survive any termination or completion of the Transaction.</w:t>
      </w:r>
    </w:p>
    <w:p>
      <w:pPr>
        <w:spacing w:after="0" w:line="189" w:lineRule="exact"/>
        <w:rPr>
          <w:sz w:val="20"/>
          <w:szCs w:val="20"/>
          <w:color w:val="auto"/>
        </w:rPr>
      </w:pPr>
    </w:p>
    <w:p>
      <w:pPr>
        <w:ind w:right="100" w:firstLine="656"/>
        <w:spacing w:after="0" w:line="272" w:lineRule="auto"/>
        <w:tabs>
          <w:tab w:leader="none" w:pos="1038"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Staggered Settlement</w:t>
      </w:r>
      <w:r>
        <w:rPr>
          <w:rFonts w:ascii="Arial" w:cs="Arial" w:eastAsia="Arial" w:hAnsi="Arial"/>
          <w:sz w:val="17"/>
          <w:szCs w:val="17"/>
          <w:color w:val="auto"/>
        </w:rPr>
        <w:t>. If BofA would owe Counterparty any Shares pursuant to the “Settlement Terms” above, BofA may, by notice to</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Counterparty on or prior to the Settlement Date (a “</w:t>
      </w:r>
      <w:r>
        <w:rPr>
          <w:rFonts w:ascii="Arial" w:cs="Arial" w:eastAsia="Arial" w:hAnsi="Arial"/>
          <w:sz w:val="17"/>
          <w:szCs w:val="17"/>
          <w:b w:val="1"/>
          <w:bCs w:val="1"/>
          <w:color w:val="auto"/>
        </w:rPr>
        <w:t>Nominal Settlement Date</w:t>
      </w:r>
      <w:r>
        <w:rPr>
          <w:rFonts w:ascii="Arial" w:cs="Arial" w:eastAsia="Arial" w:hAnsi="Arial"/>
          <w:sz w:val="17"/>
          <w:szCs w:val="17"/>
          <w:color w:val="auto"/>
        </w:rPr>
        <w:t>”), elect to deliver the Shares deliverable on such Nominal Settlement Date on two or more dates (each, a “</w:t>
      </w:r>
      <w:r>
        <w:rPr>
          <w:rFonts w:ascii="Arial" w:cs="Arial" w:eastAsia="Arial" w:hAnsi="Arial"/>
          <w:sz w:val="17"/>
          <w:szCs w:val="17"/>
          <w:b w:val="1"/>
          <w:bCs w:val="1"/>
          <w:color w:val="auto"/>
        </w:rPr>
        <w:t>Staggered Settlement Date</w:t>
      </w:r>
      <w:r>
        <w:rPr>
          <w:rFonts w:ascii="Arial" w:cs="Arial" w:eastAsia="Arial" w:hAnsi="Arial"/>
          <w:sz w:val="17"/>
          <w:szCs w:val="17"/>
          <w:color w:val="auto"/>
        </w:rPr>
        <w:t>”) or at two or more times on the Nominal Settlement Date as follows: (i) in such notice, BofA will specify to Counterparty the related Staggered Settlement Dates (each of which will be on or prior to such Nominal Settlement Date) or delivery times and how it will allocate the Shares it is required to deliver under “Settlement Terms” above among the Staggered Settlement Dates or delivery times; and (ii) the aggregate number of Shares that BofA will deliver to Counterparty hereunder on all such Staggered Settlement Dates and delivery times will equal the number of Shares that BofA would otherwise be required to deliver on such Nominal Settlement Date.</w:t>
      </w:r>
    </w:p>
    <w:p>
      <w:pPr>
        <w:spacing w:after="0" w:line="177" w:lineRule="exact"/>
        <w:rPr>
          <w:rFonts w:ascii="Arial" w:cs="Arial" w:eastAsia="Arial" w:hAnsi="Arial"/>
          <w:sz w:val="17"/>
          <w:szCs w:val="17"/>
          <w:color w:val="auto"/>
        </w:rPr>
      </w:pPr>
    </w:p>
    <w:p>
      <w:pPr>
        <w:ind w:right="260" w:firstLine="656"/>
        <w:spacing w:after="0" w:line="286" w:lineRule="auto"/>
        <w:tabs>
          <w:tab w:leader="none" w:pos="1028"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Adjustments</w:t>
      </w:r>
      <w:r>
        <w:rPr>
          <w:rFonts w:ascii="Arial" w:cs="Arial" w:eastAsia="Arial" w:hAnsi="Arial"/>
          <w:sz w:val="17"/>
          <w:szCs w:val="17"/>
          <w:color w:val="auto"/>
        </w:rPr>
        <w:t>. For the avoidance of doubt, whenever the Calculation Agent is called upon to make an adjustment pursuant to the terms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Confirmation or the Definitions to take into account the effect of an event, the Calculation Agent shall make such adjustment by reference to the effect of such event on the Hedging Party, assuming that the Hedging Party maintains a commercially reasonable hedge position.</w:t>
      </w:r>
    </w:p>
    <w:p>
      <w:pPr>
        <w:spacing w:after="0" w:line="165" w:lineRule="exact"/>
        <w:rPr>
          <w:rFonts w:ascii="Arial" w:cs="Arial" w:eastAsia="Arial" w:hAnsi="Arial"/>
          <w:sz w:val="17"/>
          <w:szCs w:val="17"/>
          <w:color w:val="auto"/>
        </w:rPr>
      </w:pPr>
    </w:p>
    <w:p>
      <w:pPr>
        <w:ind w:firstLine="656"/>
        <w:spacing w:after="0" w:line="284" w:lineRule="auto"/>
        <w:tabs>
          <w:tab w:leader="none" w:pos="1008"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Transfer and Assignment</w:t>
      </w:r>
      <w:r>
        <w:rPr>
          <w:rFonts w:ascii="Arial" w:cs="Arial" w:eastAsia="Arial" w:hAnsi="Arial"/>
          <w:sz w:val="16"/>
          <w:szCs w:val="16"/>
          <w:color w:val="auto"/>
        </w:rPr>
        <w:t>. BofA may transfer or assign without any consent of the Counterparty its rights and obligations hereunder and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in whole or in part, to (i) any of its affiliates, (ii) any entities sponsored or organized by, or on behalf of or for the benefit of, BofA or (iii) any person of credit quality equivalent to BofA. At any time at which any Excess Ownership Position or a Hedging Disruption exists, if BofA, in its discretion, is unable to effect a transfer or assignment to a third party in accordance with the requirements set forth above after using its commercially reasonable efforts on pricing terms and within a time period reasonably acceptable to BofA such that an Excess Ownership Position or a Hedging Disruption, as the case may be, no longer exists, BofA may designate any Scheduled Trading Day as an Early Termination Date with respect to a portion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of the Transaction, such that such Excess Ownership Position or Hedging Disruption, as the case may be, no longer exists. In the event that BofA so designates an Early Termination Date with respect to a portion of the Transaction, a payment or delivery shall be made pursuant to Section 6 of the Agreement and Section 10(a) of this Confirmation as if (i) an Early Termination Date had been designated in respect of a Transaction having terms identical to the Terminated Portion of the Transaction, (ii) Counterparty shall be the sole Affected Party with respect to such partial termination and (iii) such portion of the Transaction shall be the only Terminated Transaction.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means any of the following: (i) the Equity Percentage exceeds 9.0%, (ii) BofA or any “affiliate” or “associate” of BofA would own in excess of 13% of the outstanding Shares for purposes of Section 203 of the Delaware General Corporation Law or (iii) BofA, BofA Group (as defined below) or any person whose ownership position would be aggregated with that of BofA or BofA Group (BofA, BofA Group or any such person, a “</w:t>
      </w:r>
      <w:r>
        <w:rPr>
          <w:rFonts w:ascii="Arial" w:cs="Arial" w:eastAsia="Arial" w:hAnsi="Arial"/>
          <w:sz w:val="16"/>
          <w:szCs w:val="16"/>
          <w:b w:val="1"/>
          <w:bCs w:val="1"/>
          <w:color w:val="auto"/>
        </w:rPr>
        <w:t>BofA Person</w:t>
      </w:r>
      <w:r>
        <w:rPr>
          <w:rFonts w:ascii="Arial" w:cs="Arial" w:eastAsia="Arial" w:hAnsi="Arial"/>
          <w:sz w:val="16"/>
          <w:szCs w:val="16"/>
          <w:color w:val="auto"/>
        </w:rPr>
        <w:t>”) under any federal, state or local laws, regulations or regulatory orders applicable to ownership of Shares (“</w:t>
      </w:r>
      <w:r>
        <w:rPr>
          <w:rFonts w:ascii="Arial" w:cs="Arial" w:eastAsia="Arial" w:hAnsi="Arial"/>
          <w:sz w:val="16"/>
          <w:szCs w:val="16"/>
          <w:b w:val="1"/>
          <w:bCs w:val="1"/>
          <w:color w:val="auto"/>
        </w:rPr>
        <w:t>Applicable Laws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BofA Person under Applicable Laws and with respect to which such requirements have not been met or the relevant approval has not been received or that would give rise to any consequences under the constitutive documents of Counterparty or any contract or agreement to which Counterparty is a party, in each case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The “</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 expressed as a percentage, (A) the numerator of which is the number of Shares that BofA and any of its affiliates or any other person subject to aggregation with BofA, for purposes of the “beneficial ownership” test under Section 13 of the Exchange Act, or any “group” (within the meaning of Section 13 of the Exchange Act) of which BofA is or may be deemed to be a part (BofA and any such affiliates, persons and groups, collectively, “</w:t>
      </w:r>
      <w:r>
        <w:rPr>
          <w:rFonts w:ascii="Arial" w:cs="Arial" w:eastAsia="Arial" w:hAnsi="Arial"/>
          <w:sz w:val="16"/>
          <w:szCs w:val="16"/>
          <w:b w:val="1"/>
          <w:bCs w:val="1"/>
          <w:color w:val="auto"/>
        </w:rPr>
        <w:t>BofA Group</w:t>
      </w:r>
      <w:r>
        <w:rPr>
          <w:rFonts w:ascii="Arial" w:cs="Arial" w:eastAsia="Arial" w:hAnsi="Arial"/>
          <w:sz w:val="16"/>
          <w:szCs w:val="16"/>
          <w:color w:val="auto"/>
        </w:rPr>
        <w:t>”) beneficially owns (within the meaning of Section 13 of the Exchange Act), without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25" w:right="259" w:bottom="1440" w:gutter="0" w:footer="0" w:header="0"/>
        </w:sectPr>
      </w:pPr>
    </w:p>
    <w:bookmarkStart w:id="122" w:name="page123"/>
    <w:bookmarkEnd w:id="122"/>
    <w:p>
      <w:pPr>
        <w:ind w:right="20"/>
        <w:spacing w:after="0" w:line="264" w:lineRule="auto"/>
        <w:rPr>
          <w:sz w:val="20"/>
          <w:szCs w:val="20"/>
          <w:color w:val="auto"/>
        </w:rPr>
      </w:pPr>
      <w:r>
        <w:rPr>
          <w:rFonts w:ascii="Arial" w:cs="Arial" w:eastAsia="Arial" w:hAnsi="Arial"/>
          <w:sz w:val="18"/>
          <w:szCs w:val="18"/>
          <w:color w:val="auto"/>
        </w:rPr>
        <w:t>duplication, on such day (or, to the extent that, as a result of a change in law, regulation or interpretation after the date hereof, the equivalent calculation under Section 16 of the Exchange Act and the rules and regulations thereunder results in a higher number, such number) and (B) the denominator of which is the number of Shares outstanding on such day.</w:t>
      </w:r>
    </w:p>
    <w:p>
      <w:pPr>
        <w:spacing w:after="0" w:line="177" w:lineRule="exact"/>
        <w:rPr>
          <w:sz w:val="20"/>
          <w:szCs w:val="20"/>
          <w:color w:val="auto"/>
        </w:rPr>
      </w:pPr>
    </w:p>
    <w:p>
      <w:pPr>
        <w:ind w:right="40" w:firstLine="656"/>
        <w:spacing w:after="0" w:line="285" w:lineRule="auto"/>
        <w:tabs>
          <w:tab w:leader="none" w:pos="1038"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Disposition of Hedge Shares</w:t>
      </w:r>
      <w:r>
        <w:rPr>
          <w:rFonts w:ascii="Arial" w:cs="Arial" w:eastAsia="Arial" w:hAnsi="Arial"/>
          <w:sz w:val="16"/>
          <w:szCs w:val="16"/>
          <w:color w:val="auto"/>
        </w:rPr>
        <w:t>. Counterparty hereby agrees that if, in the good faith reasonable judgment of BofA, any Shares (the “</w:t>
      </w:r>
      <w:r>
        <w:rPr>
          <w:rFonts w:ascii="Arial" w:cs="Arial" w:eastAsia="Arial" w:hAnsi="Arial"/>
          <w:sz w:val="16"/>
          <w:szCs w:val="16"/>
          <w:b w:val="1"/>
          <w:bCs w:val="1"/>
          <w:color w:val="auto"/>
        </w:rPr>
        <w:t>Hedge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acquired by BofA for the purpose of hedging its obligations pursuant to the Transaction cannot be sold in the public market by BofA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registration under the Securities Act, Counterparty shall, at its election: (i) in order to allow BofA to sell the Hedge Shares in a registered offering, make available to BofA an effective registration statement under the Securities Act to cover the resale of such Hedge Shares and (A) enter into an agreement, in form and substance satisfactory to BofA, substantially in the form of an underwriting agreement for a registered offering, (B) provide accountant’s “comfort” letters in customary form for registered offerings of equity securities, (C) provide disclosure opinions of nationally recognized outside counsel to Counterparty reasonably acceptable to BofA, (D) provide other customary opinions, certificates and closing documents customary in form for registered offerings of equity securities and (E) afford BofA a reasonable opportunity to conduct a “due diligence” investigation with respect to Counterparty customary in scope for underwritten offerings of equity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BofA, in its sole reasonable discretion, is not satisfied with access to due diligence materials, the results of its due diligence investigation, or the procedures and documentation for the registered offering referred to above, then clause (ii) or clause (iii) of this Section 10(g) shall apply at the election of Counterparty; (ii) in order to allow BofA to sell the Hedge Shares in a private placement, enter into a private placement agreement substantially similar to private placement purchase agreements customary for private placements of equity securities, in form and substance satisfactory to BofA, including customary representations, covenants, blue sky and other governmental filings and/or registrations, indemnities to BofA, due diligence rights (for BofA or any designated buyer of the Hedge Shares from BofA), opinions and certificates and such other documentation as is customary for private placements agreements, all reasonably acceptable to BofA (in which case, the Calculation Agent shall make any adjustments to the terms of the Transaction that are necessary, in its reasonable judgment, to compensate BofA for any discount from the public market price of the Shares incurred on the sale of Hedge Shares in a private placement); or (iii) purchase the Hedge Shares from BofA at the Volume Weighted Average Price on such Exchange Business Days, and in the amounts, requested by BofA. “</w:t>
      </w:r>
      <w:r>
        <w:rPr>
          <w:rFonts w:ascii="Arial" w:cs="Arial" w:eastAsia="Arial" w:hAnsi="Arial"/>
          <w:sz w:val="16"/>
          <w:szCs w:val="16"/>
          <w:b w:val="1"/>
          <w:bCs w:val="1"/>
          <w:color w:val="auto"/>
        </w:rPr>
        <w:t>Volume Weighted Average Price</w:t>
      </w:r>
      <w:r>
        <w:rPr>
          <w:rFonts w:ascii="Arial" w:cs="Arial" w:eastAsia="Arial" w:hAnsi="Arial"/>
          <w:sz w:val="16"/>
          <w:szCs w:val="16"/>
          <w:color w:val="auto"/>
        </w:rPr>
        <w:t>” means, on any Exchange Business Day, the per Share volume-weighted average price as displayed under the heading “Bloomberg VWAP” on Bloomberg page QRVO &lt;equity&gt; VAP (or any successor thereto) in respect of the period from 9:30 a.m. to 4:00 p.m. (New York City time) on such Exchange Business Day (or if such volume-weighted average price is unavailable or is manifestly incorrect, the market value of one Share on such Exchange Business Day, as determined by the Calculation Agent using a volume-weighted method).</w:t>
      </w:r>
    </w:p>
    <w:p>
      <w:pPr>
        <w:spacing w:after="0" w:line="385" w:lineRule="exact"/>
        <w:rPr>
          <w:rFonts w:ascii="Arial" w:cs="Arial" w:eastAsia="Arial" w:hAnsi="Arial"/>
          <w:sz w:val="16"/>
          <w:szCs w:val="16"/>
          <w:color w:val="auto"/>
        </w:rPr>
      </w:pPr>
    </w:p>
    <w:p>
      <w:pPr>
        <w:ind w:right="120" w:firstLine="656"/>
        <w:spacing w:after="0" w:line="259" w:lineRule="auto"/>
        <w:tabs>
          <w:tab w:leader="none" w:pos="1038"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Additional Termination Event</w:t>
      </w:r>
      <w:r>
        <w:rPr>
          <w:rFonts w:ascii="Arial" w:cs="Arial" w:eastAsia="Arial" w:hAnsi="Arial"/>
          <w:sz w:val="18"/>
          <w:szCs w:val="18"/>
          <w:color w:val="auto"/>
        </w:rPr>
        <w:t>. It shall constitute an Additional Termination Event with respect to which the Transaction is the sole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Counterparty is the sole Affected Party and BofA shall be the party entitled to designate an Early Termination Date pursuant to Section 6(b) of the Agreement if at any time during the Relevant Period, the price per Share on the Exchange, as determined by the Calculation Agent, is at or below the Threshold Price (as provided in Annex B to this Confirmation).</w:t>
      </w:r>
    </w:p>
    <w:p>
      <w:pPr>
        <w:spacing w:after="0" w:line="186" w:lineRule="exact"/>
        <w:rPr>
          <w:rFonts w:ascii="Arial" w:cs="Arial" w:eastAsia="Arial" w:hAnsi="Arial"/>
          <w:sz w:val="18"/>
          <w:szCs w:val="18"/>
          <w:color w:val="auto"/>
        </w:rPr>
      </w:pPr>
    </w:p>
    <w:p>
      <w:pPr>
        <w:ind w:left="1000" w:hanging="344"/>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Amendments to Equity Definitions</w:t>
      </w:r>
      <w:r>
        <w:rPr>
          <w:rFonts w:ascii="Arial" w:cs="Arial" w:eastAsia="Arial" w:hAnsi="Arial"/>
          <w:sz w:val="18"/>
          <w:szCs w:val="18"/>
          <w:color w:val="auto"/>
        </w:rPr>
        <w:t>. The following amendments shall be made to the Equity Definitions:</w:t>
      </w:r>
    </w:p>
    <w:p>
      <w:pPr>
        <w:spacing w:after="0" w:line="225" w:lineRule="exact"/>
        <w:rPr>
          <w:rFonts w:ascii="Arial" w:cs="Arial" w:eastAsia="Arial" w:hAnsi="Arial"/>
          <w:sz w:val="18"/>
          <w:szCs w:val="18"/>
          <w:color w:val="auto"/>
        </w:rPr>
      </w:pPr>
    </w:p>
    <w:p>
      <w:pPr>
        <w:ind w:left="660" w:firstLine="645"/>
        <w:spacing w:after="0" w:line="277" w:lineRule="auto"/>
        <w:tabs>
          <w:tab w:leader="none" w:pos="1703"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“a diluting or concentrative effect on the theoretical value of the relevant Shares” and replacing them with the words “an economic effect on the relevant Transaction”;</w:t>
      </w:r>
    </w:p>
    <w:p>
      <w:pPr>
        <w:spacing w:after="0" w:line="170" w:lineRule="exact"/>
        <w:rPr>
          <w:rFonts w:ascii="Arial" w:cs="Arial" w:eastAsia="Arial" w:hAnsi="Arial"/>
          <w:sz w:val="18"/>
          <w:szCs w:val="18"/>
          <w:color w:val="auto"/>
        </w:rPr>
      </w:pPr>
    </w:p>
    <w:p>
      <w:pPr>
        <w:ind w:left="660" w:right="40" w:firstLine="645"/>
        <w:spacing w:after="0" w:line="291" w:lineRule="auto"/>
        <w:tabs>
          <w:tab w:leader="none" w:pos="1750"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The first sentence of Section 11.2(c) of the Equity Definitions, prior to clause (A) thereof, is hereby amended to read as follows: “(c) If ‘Calculation Agent Adjustment’ is specified as the Method of Adjustment in the related Confirmation of a Share Option Transaction or Share Forward Transaction, then following the announcement or occurrence of any Potential Adjustment Event, the Calculation Agent will determine whether such Potential Adjustment Event has an economic effect on the Transaction and, if so, will (i) make appropriate adjustment(s), if any, to any one or more of:” </w:t>
      </w:r>
      <w:r>
        <w:rPr>
          <w:rFonts w:ascii="Arial" w:cs="Arial" w:eastAsia="Arial" w:hAnsi="Arial"/>
          <w:sz w:val="16"/>
          <w:szCs w:val="16"/>
          <w:i w:val="1"/>
          <w:iCs w:val="1"/>
          <w:color w:val="auto"/>
        </w:rPr>
        <w:t>and</w:t>
      </w:r>
      <w:r>
        <w:rPr>
          <w:rFonts w:ascii="Arial" w:cs="Arial" w:eastAsia="Arial" w:hAnsi="Arial"/>
          <w:sz w:val="16"/>
          <w:szCs w:val="16"/>
          <w:color w:val="auto"/>
        </w:rPr>
        <w:t xml:space="preserve"> the portion of such sentence immediately preceding clause (ii) thereof is hereby amended by deleting the words “diluting or concentrative” and the words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adjustments will be made to account solely for changes in volatility, expected dividends, stock loan rate or liquidity relative to the relevant Shares)” and replacing such latter phrase with the words “(and, for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25" w:right="259" w:bottom="1440" w:gutter="0" w:footer="0" w:header="0"/>
        </w:sectPr>
      </w:pPr>
    </w:p>
    <w:bookmarkStart w:id="123" w:name="page124"/>
    <w:bookmarkEnd w:id="123"/>
    <w:p>
      <w:pPr>
        <w:ind w:left="620" w:right="480"/>
        <w:spacing w:after="0" w:line="277" w:lineRule="auto"/>
        <w:rPr>
          <w:sz w:val="20"/>
          <w:szCs w:val="20"/>
          <w:color w:val="auto"/>
        </w:rPr>
      </w:pPr>
      <w:r>
        <w:rPr>
          <w:rFonts w:ascii="Arial" w:cs="Arial" w:eastAsia="Arial" w:hAnsi="Arial"/>
          <w:sz w:val="18"/>
          <w:szCs w:val="18"/>
          <w:color w:val="auto"/>
        </w:rPr>
        <w:t>the avoidance of doubt, adjustments may be made to account solely for changes in volatility, stock loan rate or liquidity relative to the relevant Shares)”;</w:t>
      </w:r>
    </w:p>
    <w:p>
      <w:pPr>
        <w:spacing w:after="0" w:line="170" w:lineRule="exact"/>
        <w:rPr>
          <w:sz w:val="20"/>
          <w:szCs w:val="20"/>
          <w:color w:val="auto"/>
        </w:rPr>
      </w:pPr>
    </w:p>
    <w:p>
      <w:pPr>
        <w:ind w:left="620" w:right="520" w:firstLine="645"/>
        <w:spacing w:after="0" w:line="308" w:lineRule="auto"/>
        <w:tabs>
          <w:tab w:leader="none" w:pos="1763" w:val="left"/>
        </w:tabs>
        <w:numPr>
          <w:ilvl w:val="1"/>
          <w:numId w:val="56"/>
        </w:numPr>
        <w:rPr>
          <w:rFonts w:ascii="Arial" w:cs="Arial" w:eastAsia="Arial" w:hAnsi="Arial"/>
          <w:sz w:val="17"/>
          <w:szCs w:val="17"/>
          <w:color w:val="auto"/>
        </w:rPr>
      </w:pPr>
      <w:r>
        <w:rPr>
          <w:rFonts w:ascii="Arial" w:cs="Arial" w:eastAsia="Arial" w:hAnsi="Arial"/>
          <w:sz w:val="17"/>
          <w:szCs w:val="17"/>
          <w:color w:val="auto"/>
        </w:rPr>
        <w:t>Section 11.2(e)(vii) of the Equity Definitions is hereby amended by deleting the words “diluting or concentrative effect on the theoretical value of the relevant Shares” and replacing them with the words “economic effect on the relevant Transaction”;</w:t>
      </w:r>
    </w:p>
    <w:p>
      <w:pPr>
        <w:spacing w:after="0" w:line="146" w:lineRule="exact"/>
        <w:rPr>
          <w:rFonts w:ascii="Arial" w:cs="Arial" w:eastAsia="Arial" w:hAnsi="Arial"/>
          <w:sz w:val="17"/>
          <w:szCs w:val="17"/>
          <w:color w:val="auto"/>
        </w:rPr>
      </w:pPr>
    </w:p>
    <w:p>
      <w:pPr>
        <w:ind w:left="620" w:right="260" w:firstLine="645"/>
        <w:spacing w:after="0" w:line="259" w:lineRule="auto"/>
        <w:tabs>
          <w:tab w:leader="none" w:pos="17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BofA’s option, the occurrence of any of the events specified in Section 5(a)(vii) (1) through (9) of the ISDA Master Agreement with respect to that issuer”;</w:t>
      </w:r>
    </w:p>
    <w:p>
      <w:pPr>
        <w:spacing w:after="0" w:line="186" w:lineRule="exact"/>
        <w:rPr>
          <w:rFonts w:ascii="Arial" w:cs="Arial" w:eastAsia="Arial" w:hAnsi="Arial"/>
          <w:sz w:val="18"/>
          <w:szCs w:val="18"/>
          <w:color w:val="auto"/>
        </w:rPr>
      </w:pPr>
    </w:p>
    <w:p>
      <w:pPr>
        <w:jc w:val="both"/>
        <w:ind w:left="620" w:right="220" w:firstLine="645"/>
        <w:spacing w:after="0" w:line="264" w:lineRule="auto"/>
        <w:tabs>
          <w:tab w:leader="none" w:pos="1658" w:val="left"/>
        </w:tabs>
        <w:numPr>
          <w:ilvl w:val="1"/>
          <w:numId w:val="56"/>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 (A) deleting (1) subsection (A) in its entirety, (2) the phrase “or (B)” following subsection (A) and (3) the phrase “in each case” in subsection (B); and (B) deleting the phrase “neither the Non-Hedging Party nor the Lending Party lends Shares in the amount of the Hedging Shares or” in the penultimate sentence; and</w:t>
      </w:r>
    </w:p>
    <w:p>
      <w:pPr>
        <w:spacing w:after="0" w:line="181" w:lineRule="exact"/>
        <w:rPr>
          <w:rFonts w:ascii="Arial" w:cs="Arial" w:eastAsia="Arial" w:hAnsi="Arial"/>
          <w:sz w:val="18"/>
          <w:szCs w:val="18"/>
          <w:color w:val="auto"/>
        </w:rPr>
      </w:pPr>
    </w:p>
    <w:p>
      <w:pPr>
        <w:ind w:left="620" w:firstLine="645"/>
        <w:spacing w:after="0" w:line="259" w:lineRule="auto"/>
        <w:tabs>
          <w:tab w:leader="none" w:pos="1708" w:val="left"/>
        </w:tabs>
        <w:numPr>
          <w:ilvl w:val="1"/>
          <w:numId w:val="56"/>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and (3) replacing in the penultimate sentence the words “either party” with “the Hedging Party” and (4) deleting clause (X) in the final sentence.</w:t>
      </w:r>
    </w:p>
    <w:p>
      <w:pPr>
        <w:spacing w:after="0" w:line="186" w:lineRule="exact"/>
        <w:rPr>
          <w:rFonts w:ascii="Arial" w:cs="Arial" w:eastAsia="Arial" w:hAnsi="Arial"/>
          <w:sz w:val="18"/>
          <w:szCs w:val="18"/>
          <w:color w:val="auto"/>
        </w:rPr>
      </w:pPr>
    </w:p>
    <w:p>
      <w:pPr>
        <w:ind w:left="80" w:right="120" w:firstLine="536"/>
        <w:spacing w:after="0" w:line="277" w:lineRule="auto"/>
        <w:tabs>
          <w:tab w:leader="none" w:pos="97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No Netting and Set-off</w:t>
      </w:r>
      <w:r>
        <w:rPr>
          <w:rFonts w:ascii="Arial" w:cs="Arial" w:eastAsia="Arial" w:hAnsi="Arial"/>
          <w:sz w:val="18"/>
          <w:szCs w:val="18"/>
          <w:color w:val="auto"/>
        </w:rPr>
        <w:t>. Each party waives any and all rights it may have to set off obligations arising under the Agreement and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other obligations between the parties, whether arising under any other agreement, applicable law or otherwise.</w:t>
      </w:r>
    </w:p>
    <w:p>
      <w:pPr>
        <w:spacing w:after="0" w:line="170" w:lineRule="exact"/>
        <w:rPr>
          <w:rFonts w:ascii="Arial" w:cs="Arial" w:eastAsia="Arial" w:hAnsi="Arial"/>
          <w:sz w:val="18"/>
          <w:szCs w:val="18"/>
          <w:color w:val="auto"/>
        </w:rPr>
      </w:pPr>
    </w:p>
    <w:p>
      <w:pPr>
        <w:ind w:left="-40" w:right="120" w:firstLine="656"/>
        <w:spacing w:after="0" w:line="312" w:lineRule="auto"/>
        <w:tabs>
          <w:tab w:leader="none" w:pos="998"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Effective from the date of commencement of discussions concerning the Transaction, Counterparty and each of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6"/>
          <w:szCs w:val="16"/>
          <w:color w:val="auto"/>
        </w:rPr>
      </w:pPr>
    </w:p>
    <w:p>
      <w:pPr>
        <w:ind w:left="-40" w:right="20" w:firstLine="656"/>
        <w:spacing w:after="0" w:line="273" w:lineRule="auto"/>
        <w:tabs>
          <w:tab w:leader="none" w:pos="958"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Designation by BofA</w:t>
      </w:r>
      <w:r>
        <w:rPr>
          <w:rFonts w:ascii="Arial" w:cs="Arial" w:eastAsia="Arial" w:hAnsi="Arial"/>
          <w:sz w:val="17"/>
          <w:szCs w:val="17"/>
          <w:color w:val="auto"/>
        </w:rPr>
        <w:t>. Notwithstanding any other provision in this Confirmation to the contrary requiring or allowing BofA to purchase, sell,</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or deliver any Shares or other securities to or from Counterparty, BofA (the “</w:t>
      </w:r>
      <w:r>
        <w:rPr>
          <w:rFonts w:ascii="Arial" w:cs="Arial" w:eastAsia="Arial" w:hAnsi="Arial"/>
          <w:sz w:val="17"/>
          <w:szCs w:val="17"/>
          <w:b w:val="1"/>
          <w:bCs w:val="1"/>
          <w:color w:val="auto"/>
        </w:rPr>
        <w:t>Designator</w:t>
      </w:r>
      <w:r>
        <w:rPr>
          <w:rFonts w:ascii="Arial" w:cs="Arial" w:eastAsia="Arial" w:hAnsi="Arial"/>
          <w:sz w:val="17"/>
          <w:szCs w:val="17"/>
          <w:color w:val="auto"/>
        </w:rPr>
        <w:t>”) may designate any of its Affiliates (the “</w:t>
      </w:r>
      <w:r>
        <w:rPr>
          <w:rFonts w:ascii="Arial" w:cs="Arial" w:eastAsia="Arial" w:hAnsi="Arial"/>
          <w:sz w:val="17"/>
          <w:szCs w:val="17"/>
          <w:b w:val="1"/>
          <w:bCs w:val="1"/>
          <w:color w:val="auto"/>
        </w:rPr>
        <w:t>Designee</w:t>
      </w:r>
      <w:r>
        <w:rPr>
          <w:rFonts w:ascii="Arial" w:cs="Arial" w:eastAsia="Arial" w:hAnsi="Arial"/>
          <w:sz w:val="17"/>
          <w:szCs w:val="17"/>
          <w:color w:val="auto"/>
        </w:rPr>
        <w:t>”) to deliver or take delivery, as the case may be, and otherwise perform its obligations to deliver, if any, or take delivery of, as the case may be, any such Shares or other securities in respect of the Transaction, and the Designee may assume such obligations, if any. Such designation shall not relieve the Designator of any of its obligations, if any, hereunder. Notwithstanding the previous sentence, if the Designee shall have performed the obligations, if any, of the Designator hereunder, then the Designator shall be discharged of its obligations, if any, to Counterparty to the extent of such performance.</w:t>
      </w:r>
    </w:p>
    <w:p>
      <w:pPr>
        <w:spacing w:after="0" w:line="178" w:lineRule="exact"/>
        <w:rPr>
          <w:rFonts w:ascii="Arial" w:cs="Arial" w:eastAsia="Arial" w:hAnsi="Arial"/>
          <w:sz w:val="17"/>
          <w:szCs w:val="17"/>
          <w:color w:val="auto"/>
        </w:rPr>
      </w:pPr>
    </w:p>
    <w:p>
      <w:pPr>
        <w:ind w:left="-40" w:right="20" w:firstLine="656"/>
        <w:spacing w:after="0" w:line="255" w:lineRule="auto"/>
        <w:tabs>
          <w:tab w:leader="none" w:pos="109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Wall Street Transparency and Accountability Act of 2010</w:t>
      </w:r>
      <w:r>
        <w:rPr>
          <w:rFonts w:ascii="Arial" w:cs="Arial" w:eastAsia="Arial" w:hAnsi="Arial"/>
          <w:sz w:val="18"/>
          <w:szCs w:val="18"/>
          <w:color w:val="auto"/>
        </w:rPr>
        <w:t>. The parties hereby agree that none of (i) Section 739 of the Wall Street</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and Accountability Act of 2010 (the “WSTAA”), (ii) any similar legal certainty provision included in any legislation enacted, or rule or regulation promulgated, on or after the Trade Date, (iii) the enactment of the WSTAA or any regulation under the WSTAA, (iv) any requirement under the WSTAA or (v) any amendment made by the WSTAA shall limit or otherwise impair either party’s right to terminate, renegotiate, modify, amend or supplement this Confirmation or the Agreement, as applicable, arising from a termination event, force majeure, illegality, increased cost, regulatory change or similar event under this Confirmation, the Equity Definitions or the Agreement (including, but not limited to, any right arising from any Change in Law, Hedging Disruption, Increased Cost of Hedging or Illegality).</w:t>
      </w:r>
    </w:p>
    <w:p>
      <w:pPr>
        <w:spacing w:after="0" w:line="189" w:lineRule="exact"/>
        <w:rPr>
          <w:rFonts w:ascii="Arial" w:cs="Arial" w:eastAsia="Arial" w:hAnsi="Arial"/>
          <w:sz w:val="18"/>
          <w:szCs w:val="18"/>
          <w:color w:val="auto"/>
        </w:rPr>
      </w:pPr>
    </w:p>
    <w:p>
      <w:pPr>
        <w:ind w:left="1000" w:hanging="384"/>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Tax Matters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625" w:right="259" w:bottom="1440" w:gutter="0" w:footer="0" w:header="0"/>
        </w:sectPr>
      </w:pPr>
    </w:p>
    <w:bookmarkStart w:id="124" w:name="page125"/>
    <w:bookmarkEnd w:id="124"/>
    <w:p>
      <w:pPr>
        <w:ind w:left="1960" w:hanging="655"/>
        <w:spacing w:after="0" w:line="271" w:lineRule="auto"/>
        <w:tabs>
          <w:tab w:leader="none" w:pos="1960" w:val="left"/>
        </w:tabs>
        <w:numPr>
          <w:ilvl w:val="1"/>
          <w:numId w:val="58"/>
        </w:numPr>
        <w:rPr>
          <w:rFonts w:ascii="Arial" w:cs="Arial" w:eastAsia="Arial" w:hAnsi="Arial"/>
          <w:sz w:val="17"/>
          <w:szCs w:val="17"/>
          <w:color w:val="auto"/>
        </w:rPr>
      </w:pPr>
      <w:r>
        <w:rPr>
          <w:rFonts w:ascii="Arial" w:cs="Arial" w:eastAsia="Arial" w:hAnsi="Arial"/>
          <w:sz w:val="17"/>
          <w:szCs w:val="17"/>
          <w:i w:val="1"/>
          <w:iCs w:val="1"/>
          <w:color w:val="auto"/>
        </w:rPr>
        <w:t>Withholding Tax imposed on payments to non-US counterparties under the United States Foreign Account Tax Compliance Act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“Tax” and “Indemnifiable Tax”, each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 Withholding Tax</w:t>
      </w:r>
      <w:r>
        <w:rPr>
          <w:rFonts w:ascii="Arial" w:cs="Arial" w:eastAsia="Arial" w:hAnsi="Arial"/>
          <w:sz w:val="17"/>
          <w:szCs w:val="17"/>
          <w:color w:val="auto"/>
        </w:rPr>
        <w:t>”). For the avoidance of doubt, a FATCA Withholding Tax is a Tax the deduction or withholding of which is required by applicable law for the purposes of Section 2(d) of the Agreement.</w:t>
      </w:r>
    </w:p>
    <w:p>
      <w:pPr>
        <w:spacing w:after="0" w:line="178" w:lineRule="exact"/>
        <w:rPr>
          <w:rFonts w:ascii="Arial" w:cs="Arial" w:eastAsia="Arial" w:hAnsi="Arial"/>
          <w:sz w:val="17"/>
          <w:szCs w:val="17"/>
          <w:color w:val="auto"/>
        </w:rPr>
      </w:pPr>
    </w:p>
    <w:p>
      <w:pPr>
        <w:jc w:val="both"/>
        <w:ind w:left="1960" w:right="160" w:hanging="655"/>
        <w:spacing w:after="0" w:line="264" w:lineRule="auto"/>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HIRE Act</w:t>
      </w:r>
      <w:r>
        <w:rPr>
          <w:rFonts w:ascii="Arial" w:cs="Arial" w:eastAsia="Arial" w:hAnsi="Arial"/>
          <w:sz w:val="18"/>
          <w:szCs w:val="18"/>
          <w:color w:val="auto"/>
        </w:rPr>
        <w:t>. “Tax” and “Indemnifiable Tax”, each as defined in Section 14 of the Agreement, shall not include any tax imposed 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treated as dividends from sources within the United States under Section 871(m) of the Code or any regulations issued thereunder.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Tax documentation</w:t>
      </w:r>
      <w:r>
        <w:rPr>
          <w:rFonts w:ascii="Arial" w:cs="Arial" w:eastAsia="Arial" w:hAnsi="Arial"/>
          <w:sz w:val="16"/>
          <w:szCs w:val="16"/>
          <w:color w:val="auto"/>
        </w:rPr>
        <w:t>. Counterparty shall provide to BofA a valid U.S. Internal Revenue Service Form W-9, or any successor thereto,</w:t>
      </w:r>
    </w:p>
    <w:p>
      <w:pPr>
        <w:spacing w:after="0" w:line="46" w:lineRule="exact"/>
        <w:rPr>
          <w:rFonts w:ascii="Arial" w:cs="Arial" w:eastAsia="Arial" w:hAnsi="Arial"/>
          <w:sz w:val="16"/>
          <w:szCs w:val="16"/>
          <w:color w:val="auto"/>
        </w:rPr>
      </w:pPr>
    </w:p>
    <w:p>
      <w:pPr>
        <w:ind w:left="1960" w:right="340"/>
        <w:spacing w:after="0" w:line="255" w:lineRule="auto"/>
        <w:rPr>
          <w:rFonts w:ascii="Arial" w:cs="Arial" w:eastAsia="Arial" w:hAnsi="Arial"/>
          <w:sz w:val="16"/>
          <w:szCs w:val="16"/>
          <w:color w:val="auto"/>
        </w:rPr>
      </w:pPr>
      <w:r>
        <w:rPr>
          <w:rFonts w:ascii="Arial" w:cs="Arial" w:eastAsia="Arial" w:hAnsi="Arial"/>
          <w:sz w:val="18"/>
          <w:szCs w:val="18"/>
          <w:color w:val="auto"/>
        </w:rPr>
        <w:t>(i) on or before the date of execution of this Confirmation and (ii) promptly upon learning that any such tax form previously provided by Counterparty has become obsolete or incorrect. Additionally, Counterparty shall, promptly upon request by BofA, provide such other tax forms and documents requested by BofA.</w:t>
      </w:r>
    </w:p>
    <w:p>
      <w:pPr>
        <w:spacing w:after="0" w:line="190" w:lineRule="exact"/>
        <w:rPr>
          <w:rFonts w:ascii="Arial" w:cs="Arial" w:eastAsia="Arial" w:hAnsi="Arial"/>
          <w:sz w:val="16"/>
          <w:szCs w:val="16"/>
          <w:color w:val="auto"/>
        </w:rPr>
      </w:pPr>
    </w:p>
    <w:p>
      <w:pPr>
        <w:ind w:left="1040" w:hanging="384"/>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Termination Currency</w:t>
      </w:r>
      <w:r>
        <w:rPr>
          <w:rFonts w:ascii="Arial" w:cs="Arial" w:eastAsia="Arial" w:hAnsi="Arial"/>
          <w:sz w:val="18"/>
          <w:szCs w:val="18"/>
          <w:color w:val="auto"/>
        </w:rPr>
        <w:t>. The Termination Currency shall be USD.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1040" w:hanging="384"/>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Waiver of Trial by Jury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EACH OF COUNTERPARTY AND BOFA HEREBY IRREVOCABLY WAIVES (ON ITS OWN BEHALF</w:t>
      </w:r>
    </w:p>
    <w:p>
      <w:pPr>
        <w:spacing w:after="0" w:line="49" w:lineRule="exact"/>
        <w:rPr>
          <w:rFonts w:ascii="Arial" w:cs="Arial" w:eastAsia="Arial" w:hAnsi="Arial"/>
          <w:sz w:val="18"/>
          <w:szCs w:val="18"/>
          <w:color w:val="auto"/>
        </w:rPr>
      </w:pPr>
    </w:p>
    <w:p>
      <w:pPr>
        <w:ind w:right="20"/>
        <w:spacing w:after="0" w:line="308" w:lineRule="auto"/>
        <w:rPr>
          <w:rFonts w:ascii="Arial" w:cs="Arial" w:eastAsia="Arial" w:hAnsi="Arial"/>
          <w:sz w:val="18"/>
          <w:szCs w:val="18"/>
          <w:color w:val="auto"/>
        </w:rPr>
      </w:pPr>
      <w:r>
        <w:rPr>
          <w:rFonts w:ascii="Arial" w:cs="Arial" w:eastAsia="Arial" w:hAnsi="Arial"/>
          <w:sz w:val="18"/>
          <w:szCs w:val="18"/>
          <w:b w:val="1"/>
          <w:bCs w:val="1"/>
          <w:color w:val="auto"/>
        </w:rPr>
        <w:t>AND, TO THE EXTENT PERMITTED BY APPLICABLE LAW, ON BEHALF OF ITS STOCKHOLDERS) ALL RIGHT TO TRIAL BY JURY IN ANY ACTION, PROCEEDING OR COUNTERCLAIM (WHETHER BASED ON CONTRACT, TORT OR OTHERWISE) ARISING OUT OF OR RELATING TO THE TRANSACTION OR THE ACTIONS OF BOFA OR ITS AFFILIATES IN THE NEGOTIATION, PERFORMANCE OR ENFORCEMENT HEREOF.</w:t>
      </w:r>
    </w:p>
    <w:p>
      <w:pPr>
        <w:spacing w:after="0" w:line="152" w:lineRule="exact"/>
        <w:rPr>
          <w:rFonts w:ascii="Arial" w:cs="Arial" w:eastAsia="Arial" w:hAnsi="Arial"/>
          <w:sz w:val="18"/>
          <w:szCs w:val="18"/>
          <w:color w:val="auto"/>
        </w:rPr>
      </w:pPr>
    </w:p>
    <w:p>
      <w:pPr>
        <w:ind w:left="1020" w:hanging="36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Governing Law; Jurisdiction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CONFIRMATION AND ANY CLAIM, CONTROVERSY OR DISPUTE ARISING UNDER OR</w:t>
      </w:r>
    </w:p>
    <w:p>
      <w:pPr>
        <w:spacing w:after="0" w:line="27" w:lineRule="exact"/>
        <w:rPr>
          <w:rFonts w:ascii="Arial" w:cs="Arial" w:eastAsia="Arial" w:hAnsi="Arial"/>
          <w:sz w:val="18"/>
          <w:szCs w:val="18"/>
          <w:color w:val="auto"/>
        </w:rPr>
      </w:pPr>
    </w:p>
    <w:p>
      <w:pPr>
        <w:ind w:right="8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RELATED TO THIS CONFIRMATION SHALL BE GOVERNED BY THE LAWS OF THE STATE OF 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25" w:right="239" w:bottom="1440" w:gutter="0" w:footer="0" w:header="0"/>
        </w:sectPr>
      </w:pPr>
    </w:p>
    <w:bookmarkStart w:id="125" w:name="page126"/>
    <w:bookmarkEnd w:id="125"/>
    <w:p>
      <w:pPr>
        <w:ind w:firstLine="648"/>
        <w:spacing w:after="0" w:line="324" w:lineRule="auto"/>
        <w:rPr>
          <w:sz w:val="20"/>
          <w:szCs w:val="20"/>
          <w:color w:val="auto"/>
        </w:rPr>
      </w:pPr>
      <w:r>
        <w:rPr>
          <w:rFonts w:ascii="Arial" w:cs="Arial" w:eastAsia="Arial" w:hAnsi="Arial"/>
          <w:sz w:val="18"/>
          <w:szCs w:val="18"/>
          <w:color w:val="auto"/>
        </w:rPr>
        <w:t>Please confirm your agreement to be bound by the terms stated herein by executing the copy of this Confirmation enclosed for that purpose and returning it to us by mail or facsimile transmission to the address for Notices indicated above.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BANK OF AMERICA, N.A.</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Jake Mendelsohn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Jake Mendelsohn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Confirmed as of the date first above written: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QORVO, INC.</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 Clancy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Robert G. Clancy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Vice President and Treasurer</w:t>
      </w:r>
    </w:p>
    <w:p>
      <w:pPr>
        <w:sectPr>
          <w:pgSz w:w="11900" w:h="16838" w:orient="portrait"/>
          <w:cols w:equalWidth="0" w:num="1">
            <w:col w:w="11000"/>
          </w:cols>
          <w:pgMar w:left="240" w:top="652" w:right="6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ANNEX A</w:t>
      </w:r>
    </w:p>
    <w:p>
      <w:pPr>
        <w:spacing w:after="0" w:line="18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COUNTERPARTY SETTLEMENT PROVISIONS</w:t>
      </w:r>
    </w:p>
    <w:p>
      <w:pPr>
        <w:spacing w:after="0" w:line="185"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following Counterparty Settlement Provisions shall apply to the extent indicated under the Confirmation:</w:t>
      </w:r>
    </w:p>
    <w:p>
      <w:pPr>
        <w:sectPr>
          <w:pgSz w:w="11900" w:h="16838" w:orient="portrait"/>
          <w:cols w:equalWidth="0" w:num="1">
            <w:col w:w="11120"/>
          </w:cols>
          <w:pgMar w:left="540" w:top="6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Settlement Currency: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USD</w:t>
      </w:r>
    </w:p>
    <w:p>
      <w:pPr>
        <w:spacing w:after="0" w:line="200" w:lineRule="exact"/>
        <w:rPr>
          <w:sz w:val="20"/>
          <w:szCs w:val="20"/>
          <w:color w:val="auto"/>
        </w:rPr>
      </w:pPr>
    </w:p>
    <w:p>
      <w:pPr>
        <w:sectPr>
          <w:pgSz w:w="11900" w:h="16838" w:orient="portrait"/>
          <w:cols w:equalWidth="0" w:num="2">
            <w:col w:w="1580" w:space="720"/>
            <w:col w:w="8820"/>
          </w:cols>
          <w:pgMar w:left="540" w:top="6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Settlement Method Election: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Section 7.1 of the Equity Definitions is hereby amended by deleting the word “Physical” in the sixth line thereof and replacing it with the words “Net Share” and (ii) the Electing Party may make a settlement method election only if the Electing Party represents and warrants to BofA in writing on the date it notifies BofA of its election that, as of such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95" w:lineRule="exact"/>
        <w:rPr>
          <w:sz w:val="20"/>
          <w:szCs w:val="20"/>
          <w:color w:val="auto"/>
        </w:rPr>
      </w:pPr>
    </w:p>
    <w:p>
      <w:pPr>
        <w:sectPr>
          <w:pgSz w:w="11900" w:h="16838" w:orient="portrait"/>
          <w:cols w:equalWidth="0" w:num="2">
            <w:col w:w="2060" w:space="240"/>
            <w:col w:w="8820"/>
          </w:cols>
          <w:pgMar w:left="540" w:top="6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Electing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838" w:orient="portrait"/>
          <w:cols w:equalWidth="0" w:num="2">
            <w:col w:w="1580" w:space="720"/>
            <w:col w:w="8820"/>
          </w:cols>
          <w:pgMar w:left="540" w:top="621" w:right="239" w:bottom="1440" w:gutter="0" w:footer="0" w:header="0"/>
          <w:type w:val="continuous"/>
        </w:sectPr>
      </w:pPr>
    </w:p>
    <w:p>
      <w:pPr>
        <w:spacing w:after="0" w:line="48" w:lineRule="exact"/>
        <w:rPr>
          <w:sz w:val="20"/>
          <w:szCs w:val="20"/>
          <w:color w:val="auto"/>
        </w:rPr>
      </w:pPr>
    </w:p>
    <w:p>
      <w:pPr>
        <w:ind w:right="220" w:hanging="13"/>
        <w:spacing w:after="0" w:line="342" w:lineRule="auto"/>
        <w:rPr>
          <w:sz w:val="20"/>
          <w:szCs w:val="20"/>
          <w:color w:val="auto"/>
        </w:rPr>
      </w:pPr>
      <w:r>
        <w:rPr>
          <w:rFonts w:ascii="Arial" w:cs="Arial" w:eastAsia="Arial" w:hAnsi="Arial"/>
          <w:sz w:val="16"/>
          <w:szCs w:val="16"/>
          <w:color w:val="auto"/>
        </w:rPr>
        <w:t>Settlement Method Election Date: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date that is the earlier of (i) 3 Exchange Business Days prior to the Scheduled Final Averaging Date and (ii) the second Exchange Business Day immediately following the Valuation Date.</w:t>
      </w:r>
    </w:p>
    <w:p>
      <w:pPr>
        <w:spacing w:after="0" w:line="170" w:lineRule="exact"/>
        <w:rPr>
          <w:sz w:val="20"/>
          <w:szCs w:val="20"/>
          <w:color w:val="auto"/>
        </w:rPr>
      </w:pPr>
    </w:p>
    <w:p>
      <w:pPr>
        <w:sectPr>
          <w:pgSz w:w="11900" w:h="16838" w:orient="portrait"/>
          <w:cols w:equalWidth="0" w:num="2">
            <w:col w:w="1580" w:space="720"/>
            <w:col w:w="8820"/>
          </w:cols>
          <w:pgMar w:left="540" w:top="6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 Share Settlement</w:t>
      </w:r>
    </w:p>
    <w:p>
      <w:pPr>
        <w:spacing w:after="0" w:line="200" w:lineRule="exact"/>
        <w:rPr>
          <w:sz w:val="20"/>
          <w:szCs w:val="20"/>
          <w:color w:val="auto"/>
        </w:rPr>
      </w:pPr>
    </w:p>
    <w:p>
      <w:pPr>
        <w:sectPr>
          <w:pgSz w:w="11900" w:h="16838" w:orient="portrait"/>
          <w:cols w:equalWidth="0" w:num="2">
            <w:col w:w="2000" w:space="300"/>
            <w:col w:w="8820"/>
          </w:cols>
          <w:pgMar w:left="540" w:top="6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Special Settlement: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Either (i) a settlement to which this Annex A applies that follows the occurrence of a Transaction Announcement to which Section 9 of this Confirmation applies or (ii) any settlement to which paragraphs 2 through 5 of this Annex A apply that follows a termination or cancellation of the Transaction pursuant to Section 6 of the Agreement or Article 12 of the Equity Definitions to which Section 10(a) of this Confirmation applies.</w:t>
      </w:r>
    </w:p>
    <w:p>
      <w:pPr>
        <w:spacing w:after="0" w:line="171" w:lineRule="exact"/>
        <w:rPr>
          <w:sz w:val="20"/>
          <w:szCs w:val="20"/>
          <w:color w:val="auto"/>
        </w:rPr>
      </w:pPr>
    </w:p>
    <w:p>
      <w:pPr>
        <w:sectPr>
          <w:pgSz w:w="11900" w:h="16838" w:orient="portrait"/>
          <w:cols w:equalWidth="0" w:num="2">
            <w:col w:w="1580" w:space="720"/>
            <w:col w:w="8820"/>
          </w:cols>
          <w:pgMar w:left="540" w:top="621" w:right="239" w:bottom="1440" w:gutter="0" w:footer="0" w:header="0"/>
          <w:type w:val="continuous"/>
        </w:sectPr>
      </w:pPr>
    </w:p>
    <w:p>
      <w:pPr>
        <w:ind w:hanging="13"/>
        <w:spacing w:after="0" w:line="277" w:lineRule="auto"/>
        <w:rPr>
          <w:sz w:val="20"/>
          <w:szCs w:val="20"/>
          <w:color w:val="auto"/>
        </w:rPr>
      </w:pPr>
      <w:r>
        <w:rPr>
          <w:rFonts w:ascii="Arial" w:cs="Arial" w:eastAsia="Arial" w:hAnsi="Arial"/>
          <w:sz w:val="18"/>
          <w:szCs w:val="18"/>
          <w:color w:val="auto"/>
        </w:rPr>
        <w:t>Forward Cash Settlement Amount: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Number of Shares to be Delivered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Settlement Valuation Price.</w:t>
      </w:r>
    </w:p>
    <w:p>
      <w:pPr>
        <w:spacing w:after="0" w:line="247" w:lineRule="exact"/>
        <w:rPr>
          <w:sz w:val="20"/>
          <w:szCs w:val="20"/>
          <w:color w:val="auto"/>
        </w:rPr>
      </w:pPr>
    </w:p>
    <w:p>
      <w:pPr>
        <w:sectPr>
          <w:pgSz w:w="11900" w:h="16838" w:orient="portrait"/>
          <w:cols w:equalWidth="0" w:num="2">
            <w:col w:w="1820" w:space="480"/>
            <w:col w:w="8820"/>
          </w:cols>
          <w:pgMar w:left="540" w:top="6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Valuation Price: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arithmetic average of the VWAP Prices for all Settlement Valuation Dates, subject to Averaging Date Disruption, determined as if each Settlement Valuation Date were an Averaging Date (with Averaging Date Disruption applying as if the last Settlement Valuation Date were the Final Averaging Date and the Settlement Valuation Price were the Settlement Price).</w:t>
      </w:r>
    </w:p>
    <w:p>
      <w:pPr>
        <w:spacing w:after="0" w:line="187" w:lineRule="exact"/>
        <w:rPr>
          <w:sz w:val="20"/>
          <w:szCs w:val="20"/>
          <w:color w:val="auto"/>
        </w:rPr>
      </w:pPr>
    </w:p>
    <w:p>
      <w:pPr>
        <w:sectPr>
          <w:pgSz w:w="11900" w:h="16838" w:orient="portrait"/>
          <w:cols w:equalWidth="0" w:num="2">
            <w:col w:w="1960" w:space="340"/>
            <w:col w:w="8820"/>
          </w:cols>
          <w:pgMar w:left="540" w:top="6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Valuation Dates:</w:t>
      </w:r>
    </w:p>
    <w:p>
      <w:pPr>
        <w:spacing w:after="0" w:line="20" w:lineRule="exact"/>
        <w:rPr>
          <w:sz w:val="20"/>
          <w:szCs w:val="20"/>
          <w:color w:val="auto"/>
        </w:rPr>
      </w:pPr>
      <w:r>
        <w:rPr>
          <w:sz w:val="20"/>
          <w:szCs w:val="20"/>
          <w:color w:val="auto"/>
        </w:rPr>
        <w:br w:type="column"/>
      </w:r>
    </w:p>
    <w:p>
      <w:pPr>
        <w:spacing w:after="0" w:line="308" w:lineRule="auto"/>
        <w:rPr>
          <w:sz w:val="20"/>
          <w:szCs w:val="20"/>
          <w:color w:val="auto"/>
        </w:rPr>
      </w:pPr>
      <w:r>
        <w:rPr>
          <w:rFonts w:ascii="Arial" w:cs="Arial" w:eastAsia="Arial" w:hAnsi="Arial"/>
          <w:sz w:val="17"/>
          <w:szCs w:val="17"/>
          <w:color w:val="auto"/>
        </w:rPr>
        <w:t>A number of Scheduled Trading Days selected by BofA in its reasonable discretion, beginning on the Scheduled Trading Day immediately following the later of the Settlement Method Election Date and the Final Averaging Date.</w:t>
      </w:r>
    </w:p>
    <w:p>
      <w:pPr>
        <w:spacing w:after="0" w:line="174" w:lineRule="exact"/>
        <w:rPr>
          <w:sz w:val="20"/>
          <w:szCs w:val="20"/>
          <w:color w:val="auto"/>
        </w:rPr>
      </w:pPr>
    </w:p>
    <w:p>
      <w:pPr>
        <w:sectPr>
          <w:pgSz w:w="11900" w:h="16838" w:orient="portrait"/>
          <w:cols w:equalWidth="0" w:num="2">
            <w:col w:w="2000" w:space="300"/>
            <w:col w:w="8820"/>
          </w:cols>
          <w:pgMar w:left="540" w:top="621" w:right="239" w:bottom="1440" w:gutter="0" w:footer="0" w:header="0"/>
          <w:type w:val="continuous"/>
        </w:sectPr>
      </w:pPr>
    </w:p>
    <w:p>
      <w:pPr>
        <w:jc w:val="center"/>
        <w:ind w:right="28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120"/>
          </w:cols>
          <w:pgMar w:left="540" w:top="621" w:right="239" w:bottom="1440" w:gutter="0" w:footer="0" w:header="0"/>
          <w:type w:val="continuous"/>
        </w:sectPr>
      </w:pPr>
    </w:p>
    <w:bookmarkStart w:id="127" w:name="page128"/>
    <w:bookmarkEnd w:id="127"/>
    <w:p>
      <w:pPr>
        <w:ind w:left="300"/>
        <w:spacing w:after="0"/>
        <w:rPr>
          <w:sz w:val="20"/>
          <w:szCs w:val="20"/>
          <w:color w:val="auto"/>
        </w:rPr>
      </w:pPr>
      <w:r>
        <w:rPr>
          <w:rFonts w:ascii="Arial" w:cs="Arial" w:eastAsia="Arial" w:hAnsi="Arial"/>
          <w:sz w:val="15"/>
          <w:szCs w:val="15"/>
          <w:color w:val="auto"/>
        </w:rPr>
        <w:t>Cash Settlement: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If Cash Settlement is applicable, then Counterparty shall pay to BofA the absolute value of the Forward Cash Settlement Amount on the Cash Settlement Payment Date.</w:t>
      </w:r>
    </w:p>
    <w:p>
      <w:pPr>
        <w:spacing w:after="0" w:line="170" w:lineRule="exact"/>
        <w:rPr>
          <w:sz w:val="20"/>
          <w:szCs w:val="20"/>
          <w:color w:val="auto"/>
        </w:rPr>
      </w:pPr>
    </w:p>
    <w:p>
      <w:pPr>
        <w:sectPr>
          <w:pgSz w:w="11900" w:h="16838" w:orient="portrait"/>
          <w:cols w:equalWidth="0" w:num="2">
            <w:col w:w="1880" w:space="720"/>
            <w:col w:w="8820"/>
          </w:cols>
          <w:pgMar w:left="240" w:top="841" w:right="239" w:bottom="1440" w:gutter="0" w:footer="0" w:header="0"/>
        </w:sectPr>
      </w:pPr>
    </w:p>
    <w:p>
      <w:pPr>
        <w:ind w:left="300"/>
        <w:spacing w:after="0"/>
        <w:rPr>
          <w:sz w:val="20"/>
          <w:szCs w:val="20"/>
          <w:color w:val="auto"/>
        </w:rPr>
      </w:pPr>
      <w:r>
        <w:rPr>
          <w:rFonts w:ascii="Arial" w:cs="Arial" w:eastAsia="Arial" w:hAnsi="Arial"/>
          <w:sz w:val="15"/>
          <w:szCs w:val="15"/>
          <w:color w:val="auto"/>
        </w:rPr>
        <w:t>Cash Settlement</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Payment Date: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date one Settlement Cycle following the last Settlement Valuation Date.</w:t>
      </w:r>
    </w:p>
    <w:p>
      <w:pPr>
        <w:spacing w:after="0" w:line="225" w:lineRule="exact"/>
        <w:rPr>
          <w:sz w:val="20"/>
          <w:szCs w:val="20"/>
          <w:color w:val="auto"/>
        </w:rPr>
      </w:pPr>
    </w:p>
    <w:p>
      <w:pPr>
        <w:sectPr>
          <w:pgSz w:w="11900" w:h="16838" w:orient="portrait"/>
          <w:cols w:equalWidth="0" w:num="2">
            <w:col w:w="1880" w:space="720"/>
            <w:col w:w="8820"/>
          </w:cols>
          <w:pgMar w:left="240" w:top="841" w:right="239" w:bottom="1440" w:gutter="0" w:footer="0" w:header="0"/>
          <w:type w:val="continuous"/>
        </w:sectPr>
      </w:pPr>
    </w:p>
    <w:p>
      <w:pPr>
        <w:spacing w:after="0" w:line="22" w:lineRule="exact"/>
        <w:rPr>
          <w:sz w:val="20"/>
          <w:szCs w:val="20"/>
          <w:color w:val="auto"/>
        </w:rPr>
      </w:pPr>
    </w:p>
    <w:p>
      <w:pPr>
        <w:ind w:left="300" w:right="40"/>
        <w:spacing w:after="0" w:line="342" w:lineRule="auto"/>
        <w:rPr>
          <w:sz w:val="20"/>
          <w:szCs w:val="20"/>
          <w:color w:val="auto"/>
        </w:rPr>
      </w:pPr>
      <w:r>
        <w:rPr>
          <w:rFonts w:ascii="Arial" w:cs="Arial" w:eastAsia="Arial" w:hAnsi="Arial"/>
          <w:sz w:val="16"/>
          <w:szCs w:val="16"/>
          <w:color w:val="auto"/>
        </w:rPr>
        <w:t>Net Share Settlement Procedures: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Net Share Settlement is applicable, Net Share Settlement shall be made in accordance with paragraphs 2 through 5 below.</w:t>
      </w:r>
    </w:p>
    <w:p>
      <w:pPr>
        <w:spacing w:after="0" w:line="130" w:lineRule="exact"/>
        <w:rPr>
          <w:sz w:val="20"/>
          <w:szCs w:val="20"/>
          <w:color w:val="auto"/>
        </w:rPr>
      </w:pPr>
    </w:p>
    <w:p>
      <w:pPr>
        <w:sectPr>
          <w:pgSz w:w="11900" w:h="16838" w:orient="portrait"/>
          <w:cols w:equalWidth="0" w:num="2">
            <w:col w:w="1880" w:space="720"/>
            <w:col w:w="8820"/>
          </w:cols>
          <w:pgMar w:left="240" w:top="841" w:right="239" w:bottom="1440" w:gutter="0" w:footer="0" w:header="0"/>
          <w:type w:val="continuous"/>
        </w:sectPr>
      </w:pPr>
    </w:p>
    <w:p>
      <w:pPr>
        <w:jc w:val="both"/>
        <w:ind w:firstLine="656"/>
        <w:spacing w:after="0" w:line="271" w:lineRule="auto"/>
        <w:tabs>
          <w:tab w:leader="none" w:pos="9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Net Share Settlement shall be made by delivery on the Settlement Date of a number of Shares equal to the product of (i) the absolute value of the Number of Shares to be Delivered and (ii) 100%, </w:t>
      </w:r>
      <w:r>
        <w:rPr>
          <w:rFonts w:ascii="Arial" w:cs="Arial" w:eastAsia="Arial" w:hAnsi="Arial"/>
          <w:sz w:val="17"/>
          <w:szCs w:val="17"/>
          <w:i w:val="1"/>
          <w:iCs w:val="1"/>
          <w:color w:val="auto"/>
        </w:rPr>
        <w:t>plus</w:t>
      </w:r>
      <w:r>
        <w:rPr>
          <w:rFonts w:ascii="Arial" w:cs="Arial" w:eastAsia="Arial" w:hAnsi="Arial"/>
          <w:sz w:val="17"/>
          <w:szCs w:val="17"/>
          <w:color w:val="auto"/>
        </w:rPr>
        <w:t xml:space="preserve"> a commercially reasonable amount determined by BofA to account for the fact that such Shares will not be registered for resale;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Special Settlement, Net Share Settlement shall be made (i) by delivery on the Cash Settlement Payment Date (such date, the “</w:t>
      </w:r>
      <w:r>
        <w:rPr>
          <w:rFonts w:ascii="Arial" w:cs="Arial" w:eastAsia="Arial" w:hAnsi="Arial"/>
          <w:sz w:val="17"/>
          <w:szCs w:val="17"/>
          <w:b w:val="1"/>
          <w:bCs w:val="1"/>
          <w:color w:val="auto"/>
        </w:rPr>
        <w:t>Net Share Settlement Date</w:t>
      </w:r>
      <w:r>
        <w:rPr>
          <w:rFonts w:ascii="Arial" w:cs="Arial" w:eastAsia="Arial" w:hAnsi="Arial"/>
          <w:sz w:val="17"/>
          <w:szCs w:val="17"/>
          <w:color w:val="auto"/>
        </w:rPr>
        <w:t>”) of a number of Shares (the “</w:t>
      </w:r>
      <w:r>
        <w:rPr>
          <w:rFonts w:ascii="Arial" w:cs="Arial" w:eastAsia="Arial" w:hAnsi="Arial"/>
          <w:sz w:val="17"/>
          <w:szCs w:val="17"/>
          <w:b w:val="1"/>
          <w:bCs w:val="1"/>
          <w:color w:val="auto"/>
        </w:rPr>
        <w:t>Restricted Payment Shares</w:t>
      </w:r>
      <w:r>
        <w:rPr>
          <w:rFonts w:ascii="Arial" w:cs="Arial" w:eastAsia="Arial" w:hAnsi="Arial"/>
          <w:sz w:val="17"/>
          <w:szCs w:val="17"/>
          <w:color w:val="auto"/>
        </w:rPr>
        <w:t>”) with a value equal to the absolute value of the Forward Cash Settlement Amount, with such Shares’ value based on the realizable market value thereof to BofA (which value shall take into account an illiquidity discount resulting from the fact that the Restricted Payment Shares will not be registered for resale), as determined in a commercially reasonable manner by the Calculation Agent (the “</w:t>
      </w:r>
      <w:r>
        <w:rPr>
          <w:rFonts w:ascii="Arial" w:cs="Arial" w:eastAsia="Arial" w:hAnsi="Arial"/>
          <w:sz w:val="17"/>
          <w:szCs w:val="17"/>
          <w:b w:val="1"/>
          <w:bCs w:val="1"/>
          <w:color w:val="auto"/>
        </w:rPr>
        <w:t>Restricted Share Value</w:t>
      </w:r>
      <w:r>
        <w:rPr>
          <w:rFonts w:ascii="Arial" w:cs="Arial" w:eastAsia="Arial" w:hAnsi="Arial"/>
          <w:sz w:val="17"/>
          <w:szCs w:val="17"/>
          <w:color w:val="auto"/>
        </w:rPr>
        <w:t>”), and paragraph 3 of this Annex A shall apply to such Restricted Payment Shares, and (ii) by delivery of the Make-Whole Payment Shares as described in paragraph 4 below.</w:t>
      </w:r>
    </w:p>
    <w:p>
      <w:pPr>
        <w:spacing w:after="0" w:line="341" w:lineRule="exact"/>
        <w:rPr>
          <w:rFonts w:ascii="Arial" w:cs="Arial" w:eastAsia="Arial" w:hAnsi="Arial"/>
          <w:sz w:val="17"/>
          <w:szCs w:val="17"/>
          <w:color w:val="auto"/>
        </w:rPr>
      </w:pPr>
    </w:p>
    <w:p>
      <w:pPr>
        <w:ind w:firstLine="656"/>
        <w:spacing w:after="0" w:line="324" w:lineRule="auto"/>
        <w:tabs>
          <w:tab w:leader="none" w:pos="14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All Restricted Payment Shares and Make-Whole Payment Shares shall be delivered to BofA (or any affiliate of BofA designated by BofA) pursuant to the exemption from the registration requirements of the Securities Act provided by Section 4(2) thereof.</w:t>
      </w:r>
    </w:p>
    <w:p>
      <w:pPr>
        <w:spacing w:after="0" w:line="102" w:lineRule="exact"/>
        <w:rPr>
          <w:rFonts w:ascii="Arial" w:cs="Arial" w:eastAsia="Arial" w:hAnsi="Arial"/>
          <w:sz w:val="18"/>
          <w:szCs w:val="18"/>
          <w:color w:val="auto"/>
        </w:rPr>
      </w:pPr>
    </w:p>
    <w:p>
      <w:pPr>
        <w:jc w:val="both"/>
        <w:ind w:firstLine="1467"/>
        <w:spacing w:after="0" w:line="257" w:lineRule="auto"/>
        <w:tabs>
          <w:tab w:leader="none" w:pos="18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As of or prior to the date of delivery, Merrill Lynch, Pierce, Fenner &amp; Smith Incorporated, BofA and any potential purchaser of any such Shares from BofA (or any affiliate of BofA designated by BofA) identified by BofA shall be afforded a commercially reasonable opportunity to conduct a due diligence investigation with respect to Counterparty customary in scope for private placements of equity securities for companies of similar size (including, without limitation, the right to have made available to them for inspection all financial and other records, pertinent corporate documents and other information reasonably requested by them).</w:t>
      </w:r>
    </w:p>
    <w:p>
      <w:pPr>
        <w:spacing w:after="0" w:line="184" w:lineRule="exact"/>
        <w:rPr>
          <w:rFonts w:ascii="Arial" w:cs="Arial" w:eastAsia="Arial" w:hAnsi="Arial"/>
          <w:sz w:val="18"/>
          <w:szCs w:val="18"/>
          <w:color w:val="auto"/>
        </w:rPr>
      </w:pPr>
    </w:p>
    <w:p>
      <w:pPr>
        <w:jc w:val="both"/>
        <w:ind w:firstLine="1467"/>
        <w:spacing w:after="0" w:line="254" w:lineRule="auto"/>
        <w:tabs>
          <w:tab w:leader="none" w:pos="1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As of the date of delivery, Counterparty shall use its best efforts to enter into an agreement (a “</w:t>
      </w:r>
      <w:r>
        <w:rPr>
          <w:rFonts w:ascii="Arial" w:cs="Arial" w:eastAsia="Arial" w:hAnsi="Arial"/>
          <w:sz w:val="18"/>
          <w:szCs w:val="18"/>
          <w:b w:val="1"/>
          <w:bCs w:val="1"/>
          <w:color w:val="auto"/>
        </w:rPr>
        <w:t>Private Placement Agreement</w:t>
      </w:r>
      <w:r>
        <w:rPr>
          <w:rFonts w:ascii="Arial" w:cs="Arial" w:eastAsia="Arial" w:hAnsi="Arial"/>
          <w:sz w:val="18"/>
          <w:szCs w:val="18"/>
          <w:color w:val="auto"/>
        </w:rPr>
        <w:t>”) with BofA (or any affiliate of BofA designated by BofA) in connection with the private placement of such Shares by Counterparty to BofA (or any such affiliate) and the private resale of such Shares by BofA (or any such affiliate), substantially similar to private placement purchase agreements customary for private placements of equity securities for companies of similar size, in form and substance commercially reasonably satisfactory to BofA, which Private Placement Agreement shall include, without limitation, provisions substantially similar to those contained in such private placement purchase agreements relating to the indemnification of, and contribution in connection with the liability of, BofA and its affiliates, and shall provide for the payment by Counterparty of all fees and expenses in connection with such resale, including all fees and expenses of counsel for BofA, and shall contain representations, warranties and agreements of Counterparty reasonably necessary or advisable to establish and maintain the availability of an exemption from the registration requirements of the Securities Act for such resales.</w:t>
      </w:r>
    </w:p>
    <w:p>
      <w:pPr>
        <w:spacing w:after="0" w:line="193" w:lineRule="exact"/>
        <w:rPr>
          <w:rFonts w:ascii="Arial" w:cs="Arial" w:eastAsia="Arial" w:hAnsi="Arial"/>
          <w:sz w:val="18"/>
          <w:szCs w:val="18"/>
          <w:color w:val="auto"/>
        </w:rPr>
      </w:pPr>
    </w:p>
    <w:p>
      <w:pPr>
        <w:jc w:val="both"/>
        <w:ind w:firstLine="1467"/>
        <w:spacing w:after="0" w:line="259" w:lineRule="auto"/>
        <w:tabs>
          <w:tab w:leader="none" w:pos="1859"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Counterparty shall not take or cause to be taken any action that would make unavailable either (i) the exemption set forth in Section 4(2) of the Securities Act for the sale of any Restricted Payment Shares or Make-Whole Payment Shares by Counterparty to BofA or (ii) an exemption from the registration requirements of the Securities Act reasonably acceptable to BofA for resales of Restricted Payment Shares and Make-Whole Payment Shares by the BofA (or an affiliate of BofA).</w:t>
      </w:r>
    </w:p>
    <w:p>
      <w:pPr>
        <w:spacing w:after="0" w:line="186" w:lineRule="exact"/>
        <w:rPr>
          <w:rFonts w:ascii="Arial" w:cs="Arial" w:eastAsia="Arial" w:hAnsi="Arial"/>
          <w:sz w:val="18"/>
          <w:szCs w:val="18"/>
          <w:color w:val="auto"/>
        </w:rPr>
      </w:pPr>
    </w:p>
    <w:p>
      <w:pPr>
        <w:ind w:firstLine="1467"/>
        <w:spacing w:after="0" w:line="277" w:lineRule="auto"/>
        <w:tabs>
          <w:tab w:leader="none" w:pos="18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Counterparty expressly agrees and acknowledges that the public disclosure of all material information relating to Counterparty is within Counterparty’s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841" w:right="239" w:bottom="1440" w:gutter="0" w:footer="0" w:header="0"/>
          <w:type w:val="continuous"/>
        </w:sectPr>
      </w:pPr>
    </w:p>
    <w:bookmarkStart w:id="128" w:name="page129"/>
    <w:bookmarkEnd w:id="128"/>
    <w:p>
      <w:pPr>
        <w:jc w:val="both"/>
        <w:ind w:firstLine="656"/>
        <w:spacing w:after="0" w:line="286" w:lineRule="auto"/>
        <w:tabs>
          <w:tab w:leader="none" w:pos="108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Restricted Payment Shares are delivered in accordance with paragraph 3 above, on the last Settlement Valuation Date, a balance (the “</w:t>
      </w:r>
      <w:r>
        <w:rPr>
          <w:rFonts w:ascii="Arial" w:cs="Arial" w:eastAsia="Arial" w:hAnsi="Arial"/>
          <w:sz w:val="16"/>
          <w:szCs w:val="16"/>
          <w:b w:val="1"/>
          <w:bCs w:val="1"/>
          <w:color w:val="auto"/>
        </w:rPr>
        <w:t>Settlement Balance</w:t>
      </w:r>
      <w:r>
        <w:rPr>
          <w:rFonts w:ascii="Arial" w:cs="Arial" w:eastAsia="Arial" w:hAnsi="Arial"/>
          <w:sz w:val="16"/>
          <w:szCs w:val="16"/>
          <w:color w:val="auto"/>
        </w:rPr>
        <w:t>”) shall be established with an initial balance equal to the absolute value of the Forward Cash Settlement Amount. Following the delivery of Restricted Payment Shares or any Make-Whole Payment Shares, BofA shall sell all such Restricted Payment Shares or Make-Whole Payment Shares in a commercially reasonable manner. At the end of each Exchange Business Day upon which sales have been made, the Settlement Balance shall be reduced by an amount equal to the aggregate proceeds received by BofA or its affiliate upon the sale of such Restricted Payment Shares or Make-Whole Payment Shares, less a customary and commercially reasonable private placement fee for private placements of common stock by issuers of a similar size. If, on any Exchange Business Day, all Restricted Payment Shares and Make-Whole Payment Shares have been sold and the Settlement Balance has not been reduced to zero, Counterparty shall (i) deliver to BofA or as directed by BofA one Settlement Cycle following such Exchange Business Day an additional number of Shares (the “</w:t>
      </w:r>
      <w:r>
        <w:rPr>
          <w:rFonts w:ascii="Arial" w:cs="Arial" w:eastAsia="Arial" w:hAnsi="Arial"/>
          <w:sz w:val="16"/>
          <w:szCs w:val="16"/>
          <w:b w:val="1"/>
          <w:bCs w:val="1"/>
          <w:color w:val="auto"/>
        </w:rPr>
        <w:t>Make-Whole Payment Shares</w:t>
      </w:r>
      <w:r>
        <w:rPr>
          <w:rFonts w:ascii="Arial" w:cs="Arial" w:eastAsia="Arial" w:hAnsi="Arial"/>
          <w:sz w:val="16"/>
          <w:szCs w:val="16"/>
          <w:color w:val="auto"/>
        </w:rPr>
        <w:t>” and, together with the Restricted Payment Shares, the “</w:t>
      </w:r>
      <w:r>
        <w:rPr>
          <w:rFonts w:ascii="Arial" w:cs="Arial" w:eastAsia="Arial" w:hAnsi="Arial"/>
          <w:sz w:val="16"/>
          <w:szCs w:val="16"/>
          <w:b w:val="1"/>
          <w:bCs w:val="1"/>
          <w:color w:val="auto"/>
        </w:rPr>
        <w:t>Payment Shares</w:t>
      </w:r>
      <w:r>
        <w:rPr>
          <w:rFonts w:ascii="Arial" w:cs="Arial" w:eastAsia="Arial" w:hAnsi="Arial"/>
          <w:sz w:val="16"/>
          <w:szCs w:val="16"/>
          <w:color w:val="auto"/>
        </w:rPr>
        <w:t xml:space="preserve">”) equal to (x) the Settlement Balance as of such Exchange Business Day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(y) the Restricted Share Value of the Make-Whole Payment Shares as of such Exchange Business Day or (ii) promptly deliver to BofA cash in an amount equal to the then remaining Settlement Balance. This provision shall be applied successively until either the Settlement Balance is reduced to zero or the aggregate number of Restricted Payment Shares and Make-Whole Payment Shares equals the Maximum Deliverable Number. If on any Exchange Business Day, Restricted Payment Shares and Make-Whole Payment Shares remain unsold and the Settlement Balance has been reduced to zero, BofA shall promptly return such unsold Restricted Payment Shares or Make-Whole Payment Shares.</w:t>
      </w:r>
    </w:p>
    <w:p>
      <w:pPr>
        <w:spacing w:after="0" w:line="171" w:lineRule="exact"/>
        <w:rPr>
          <w:rFonts w:ascii="Arial" w:cs="Arial" w:eastAsia="Arial" w:hAnsi="Arial"/>
          <w:sz w:val="16"/>
          <w:szCs w:val="16"/>
          <w:color w:val="auto"/>
        </w:rPr>
      </w:pPr>
    </w:p>
    <w:p>
      <w:pPr>
        <w:jc w:val="both"/>
        <w:ind w:firstLine="656"/>
        <w:spacing w:after="0" w:line="286" w:lineRule="auto"/>
        <w:tabs>
          <w:tab w:leader="none" w:pos="1017"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Notwithstanding the foregoing, in no event shall Counterparty be required to deliver more than the Maximum Deliverable Number of Shares hereunder. “</w:t>
      </w:r>
      <w:r>
        <w:rPr>
          <w:rFonts w:ascii="Arial" w:cs="Arial" w:eastAsia="Arial" w:hAnsi="Arial"/>
          <w:sz w:val="16"/>
          <w:szCs w:val="16"/>
          <w:b w:val="1"/>
          <w:bCs w:val="1"/>
          <w:color w:val="auto"/>
        </w:rPr>
        <w:t>Maximum Deliverable Number</w:t>
      </w:r>
      <w:r>
        <w:rPr>
          <w:rFonts w:ascii="Arial" w:cs="Arial" w:eastAsia="Arial" w:hAnsi="Arial"/>
          <w:sz w:val="16"/>
          <w:szCs w:val="16"/>
          <w:color w:val="auto"/>
        </w:rPr>
        <w:t>” means the number of Shares set forth as such in Annex B to this Confirmation. Counterparty represents and warrants to BofA (which representation and warranty shall be deemed to be repeated on each day from the date hereof to the Settlement Date or, if Counterparty has elected to deliver any Payment Shares hereunder in connection with a Special Settlement, to the date on which resale of such Payment Shares is completed (the “</w:t>
      </w:r>
      <w:r>
        <w:rPr>
          <w:rFonts w:ascii="Arial" w:cs="Arial" w:eastAsia="Arial" w:hAnsi="Arial"/>
          <w:sz w:val="16"/>
          <w:szCs w:val="16"/>
          <w:b w:val="1"/>
          <w:bCs w:val="1"/>
          <w:color w:val="auto"/>
        </w:rPr>
        <w:t>Final Resale Date</w:t>
      </w:r>
      <w:r>
        <w:rPr>
          <w:rFonts w:ascii="Arial" w:cs="Arial" w:eastAsia="Arial" w:hAnsi="Arial"/>
          <w:sz w:val="16"/>
          <w:szCs w:val="16"/>
          <w:color w:val="auto"/>
        </w:rPr>
        <w:t>”)) that the Maximum Deliverable Number is equal to or less than the number of authorized but unissued Shares of Counterparty that are not reserved for future issuance in connection with transactions in such Shares (other than the transactions under this Confirmation) on the date of the determination of the Maximum Deliverable Number (such Shares, the “</w:t>
      </w:r>
      <w:r>
        <w:rPr>
          <w:rFonts w:ascii="Arial" w:cs="Arial" w:eastAsia="Arial" w:hAnsi="Arial"/>
          <w:sz w:val="16"/>
          <w:szCs w:val="16"/>
          <w:b w:val="1"/>
          <w:bCs w:val="1"/>
          <w:color w:val="auto"/>
        </w:rPr>
        <w:t>Available Shares</w:t>
      </w:r>
      <w:r>
        <w:rPr>
          <w:rFonts w:ascii="Arial" w:cs="Arial" w:eastAsia="Arial" w:hAnsi="Arial"/>
          <w:sz w:val="16"/>
          <w:szCs w:val="16"/>
          <w:color w:val="auto"/>
        </w:rPr>
        <w:t>”). In the event Counterparty shall not have delivered the full number of Shares otherwise deliverable as a result of this paragraph 5 (the resulting deficit, the “</w:t>
      </w:r>
      <w:r>
        <w:rPr>
          <w:rFonts w:ascii="Arial" w:cs="Arial" w:eastAsia="Arial" w:hAnsi="Arial"/>
          <w:sz w:val="16"/>
          <w:szCs w:val="16"/>
          <w:b w:val="1"/>
          <w:bCs w:val="1"/>
          <w:color w:val="auto"/>
        </w:rPr>
        <w:t>Deficit Shares</w:t>
      </w:r>
      <w:r>
        <w:rPr>
          <w:rFonts w:ascii="Arial" w:cs="Arial" w:eastAsia="Arial" w:hAnsi="Arial"/>
          <w:sz w:val="16"/>
          <w:szCs w:val="16"/>
          <w:color w:val="auto"/>
        </w:rPr>
        <w:t>”), Counterparty shall be continually obligated to deliver, from time to time until the full number of Deficit Shares have been delivered pursuant to this paragraph, Shares when, and to the extent that, (i) Shares are repurchased, acquired or otherwise received by Counterparty or any of its subsidiaries after the date hereof (whether or not in exchange for cash, fair value or any other consideration), (ii) authorized and unissued Shares reserved for issuance in respect of other transactions prior to such date which prior to the relevant date become no longer so reserved or (iii) Counterparty additionally authorizes any unissued Shares that are not reserved for other transactions. Counterparty shall immediately notify BofA of the occurrence of any of the foregoing events (including the number of Shares subject to clause (i), (ii) or (iii) and the corresponding number of Shares to be delivered) and promptly deliver such Shares thereafter.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6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ANNEX B</w:t>
      </w:r>
    </w:p>
    <w:p>
      <w:pPr>
        <w:sectPr>
          <w:pgSz w:w="11900" w:h="16838" w:orient="portrait"/>
          <w:cols w:equalWidth="0" w:num="1">
            <w:col w:w="11260"/>
          </w:cols>
          <w:pgMar w:left="400" w:top="8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Prepayment Amount: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Scheduled Final Averaging Date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Scheduled Earliest Acceleration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Initial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 Adjustment Amount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Maximum Stock Loan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Initial Stock Loan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Threshold Price: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Maximum Deliverable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USD 250,000,000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4,904,365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USD [*****]</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200 basis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25 basis points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USD 17.50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12,500,000</w:t>
      </w:r>
    </w:p>
    <w:p>
      <w:pPr>
        <w:spacing w:after="0" w:line="200" w:lineRule="exact"/>
        <w:rPr>
          <w:sz w:val="20"/>
          <w:szCs w:val="20"/>
          <w:color w:val="auto"/>
        </w:rPr>
      </w:pPr>
    </w:p>
    <w:p>
      <w:pPr>
        <w:sectPr>
          <w:pgSz w:w="11900" w:h="16838" w:orient="portrait"/>
          <w:cols w:equalWidth="0" w:num="2">
            <w:col w:w="3540" w:space="720"/>
            <w:col w:w="7000"/>
          </w:cols>
          <w:pgMar w:left="400" w:top="8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260"/>
          </w:cols>
          <w:pgMar w:left="400" w:top="837" w:right="239" w:bottom="1440" w:gutter="0" w:footer="0" w:header="0"/>
          <w:type w:val="continuous"/>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CERTAIN CONFIDENTIAL MATERIAL APPEARING IN THIS DOCUMENT,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MARKED BY [*****], HAS BEEN OMITTED AND FILED SEPARATELY WITH</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AND EXCHANGE COMMISSION PURSUANT TO RULE 24B-2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PROMULGATED UNDER THE SECURITIES EXCHANGE ACT OF 1934, AS AMENDED.</w:t>
      </w:r>
    </w:p>
    <w:p>
      <w:pPr>
        <w:spacing w:after="0" w:line="200" w:lineRule="exact"/>
        <w:rPr>
          <w:sz w:val="20"/>
          <w:szCs w:val="20"/>
          <w:color w:val="auto"/>
        </w:rPr>
      </w:pP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February 16, 2016</w:t>
      </w:r>
    </w:p>
    <w:p>
      <w:pPr>
        <w:sectPr>
          <w:pgSz w:w="11900" w:h="16838" w:orient="portrait"/>
          <w:cols w:equalWidth="0" w:num="1">
            <w:col w:w="11400"/>
          </w:cols>
          <w:pgMar w:left="240" w:top="148"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7628 Thorndike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Greensboro, NC 27409</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color w:val="auto"/>
        </w:rPr>
        <w:t>Attn:</w:t>
      </w:r>
      <w:r>
        <w:rPr>
          <w:sz w:val="20"/>
          <w:szCs w:val="20"/>
          <w:color w:val="auto"/>
        </w:rPr>
        <w:tab/>
      </w:r>
      <w:r>
        <w:rPr>
          <w:rFonts w:ascii="Arial" w:cs="Arial" w:eastAsia="Arial" w:hAnsi="Arial"/>
          <w:sz w:val="16"/>
          <w:szCs w:val="16"/>
          <w:color w:val="auto"/>
        </w:rPr>
        <w:t>Robert G. Clancy</w:t>
      </w:r>
    </w:p>
    <w:p>
      <w:pPr>
        <w:spacing w:after="0" w:line="3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Telephone:</w:t>
        <w:tab/>
        <w:t>336-678-8106</w:t>
      </w:r>
    </w:p>
    <w:p>
      <w:pPr>
        <w:spacing w:after="0" w:line="3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Facsimile:</w:t>
        <w:tab/>
        <w:t>336-678-0427</w:t>
      </w:r>
    </w:p>
    <w:p>
      <w:pPr>
        <w:spacing w:after="0" w:line="200" w:lineRule="exact"/>
        <w:rPr>
          <w:sz w:val="20"/>
          <w:szCs w:val="20"/>
          <w:color w:val="auto"/>
        </w:rPr>
      </w:pPr>
    </w:p>
    <w:p>
      <w:pPr>
        <w:sectPr>
          <w:pgSz w:w="11900" w:h="16838" w:orient="portrait"/>
          <w:cols w:equalWidth="0" w:num="2">
            <w:col w:w="580" w:space="720"/>
            <w:col w:w="10100"/>
          </w:cols>
          <w:pgMar w:left="240" w:top="148" w:right="2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Merrill Lynch, Pierce, Fenner &amp; Smith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Tower at 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Peter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646-855-5821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646-822-5633</w:t>
      </w:r>
    </w:p>
    <w:p>
      <w:pPr>
        <w:spacing w:after="0" w:line="200" w:lineRule="exact"/>
        <w:rPr>
          <w:sz w:val="20"/>
          <w:szCs w:val="20"/>
          <w:color w:val="auto"/>
        </w:rPr>
      </w:pPr>
    </w:p>
    <w:p>
      <w:pPr>
        <w:sectPr>
          <w:pgSz w:w="11900" w:h="16838" w:orient="portrait"/>
          <w:cols w:equalWidth="0" w:num="2">
            <w:col w:w="580" w:space="720"/>
            <w:col w:w="10100"/>
          </w:cols>
          <w:pgMar w:left="240" w:top="148"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Issuer Forward Repurchase Transaction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(BofAML Reference Number: 168545133)</w:t>
      </w:r>
    </w:p>
    <w:p>
      <w:pPr>
        <w:spacing w:after="0" w:line="126" w:lineRule="exact"/>
        <w:rPr>
          <w:sz w:val="20"/>
          <w:szCs w:val="20"/>
          <w:color w:val="auto"/>
        </w:rPr>
      </w:pPr>
    </w:p>
    <w:p>
      <w:pPr>
        <w:sectPr>
          <w:pgSz w:w="11900" w:h="16838" w:orient="portrait"/>
          <w:cols w:equalWidth="0" w:num="2">
            <w:col w:w="580" w:space="720"/>
            <w:col w:w="10100"/>
          </w:cols>
          <w:pgMar w:left="240" w:top="148" w:right="2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confirm the terms and conditions of the Transaction entered into between Bank of America, N.A. (“</w:t>
      </w:r>
      <w:r>
        <w:rPr>
          <w:rFonts w:ascii="Arial" w:cs="Arial" w:eastAsia="Arial" w:hAnsi="Arial"/>
          <w:sz w:val="18"/>
          <w:szCs w:val="18"/>
          <w:b w:val="1"/>
          <w:bCs w:val="1"/>
          <w:color w:val="auto"/>
        </w:rPr>
        <w:t>BofA</w:t>
      </w:r>
      <w:r>
        <w:rPr>
          <w:rFonts w:ascii="Arial" w:cs="Arial" w:eastAsia="Arial" w:hAnsi="Arial"/>
          <w:sz w:val="18"/>
          <w:szCs w:val="18"/>
          <w:color w:val="auto"/>
        </w:rPr>
        <w:t>”) and Qorvo, Inc. (“</w:t>
      </w:r>
      <w:r>
        <w:rPr>
          <w:rFonts w:ascii="Arial" w:cs="Arial" w:eastAsia="Arial" w:hAnsi="Arial"/>
          <w:sz w:val="18"/>
          <w:szCs w:val="18"/>
          <w:b w:val="1"/>
          <w:bCs w:val="1"/>
          <w:color w:val="auto"/>
        </w:rPr>
        <w:t>Counterparty</w:t>
      </w:r>
      <w:r>
        <w:rPr>
          <w:rFonts w:ascii="Arial" w:cs="Arial" w:eastAsia="Arial" w:hAnsi="Arial"/>
          <w:sz w:val="18"/>
          <w:szCs w:val="18"/>
          <w:color w:val="auto"/>
        </w:rPr>
        <w:t>”)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The terms of the Transaction shall be set forth in this Confirmation and a Supplemental Terms Notice in the form of Schedule A hereto (the “</w:t>
      </w:r>
      <w:r>
        <w:rPr>
          <w:rFonts w:ascii="Arial" w:cs="Arial" w:eastAsia="Arial" w:hAnsi="Arial"/>
          <w:sz w:val="18"/>
          <w:szCs w:val="18"/>
          <w:b w:val="1"/>
          <w:bCs w:val="1"/>
          <w:color w:val="auto"/>
        </w:rPr>
        <w:t>Supplemental Terms Notice</w:t>
      </w:r>
      <w:r>
        <w:rPr>
          <w:rFonts w:ascii="Arial" w:cs="Arial" w:eastAsia="Arial" w:hAnsi="Arial"/>
          <w:sz w:val="18"/>
          <w:szCs w:val="18"/>
          <w:color w:val="auto"/>
        </w:rPr>
        <w:t>”) that references this Confirmation. This Confirmation and the Supplemental Terms Notice together shall constitute a “Confirmation” as referred to in the ISDA Master Agreement specified below.</w:t>
      </w:r>
    </w:p>
    <w:p>
      <w:pPr>
        <w:spacing w:after="0" w:line="184" w:lineRule="exact"/>
        <w:rPr>
          <w:sz w:val="20"/>
          <w:szCs w:val="20"/>
          <w:color w:val="auto"/>
        </w:rPr>
      </w:pPr>
    </w:p>
    <w:p>
      <w:pPr>
        <w:ind w:right="160" w:firstLine="8"/>
        <w:spacing w:after="0" w:line="261" w:lineRule="auto"/>
        <w:tabs>
          <w:tab w:leader="none" w:pos="3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2006 ISDA Definitions (including the Annex thereto) (the “</w:t>
      </w:r>
      <w:r>
        <w:rPr>
          <w:rFonts w:ascii="Arial" w:cs="Arial" w:eastAsia="Arial" w:hAnsi="Arial"/>
          <w:sz w:val="18"/>
          <w:szCs w:val="18"/>
          <w:b w:val="1"/>
          <w:bCs w:val="1"/>
          <w:color w:val="auto"/>
        </w:rPr>
        <w:t>2006</w:t>
      </w:r>
      <w:r>
        <w:rPr>
          <w:rFonts w:ascii="Arial" w:cs="Arial" w:eastAsia="Arial" w:hAnsi="Arial"/>
          <w:sz w:val="18"/>
          <w:szCs w:val="18"/>
          <w:color w:val="auto"/>
        </w:rPr>
        <w:t xml:space="preserve"> </w:t>
      </w:r>
      <w:r>
        <w:rPr>
          <w:rFonts w:ascii="Arial" w:cs="Arial" w:eastAsia="Arial" w:hAnsi="Arial"/>
          <w:sz w:val="18"/>
          <w:szCs w:val="18"/>
          <w:b w:val="1"/>
          <w:bCs w:val="1"/>
          <w:color w:val="auto"/>
        </w:rPr>
        <w:t>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and together with the 2006</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Definitions, the “</w:t>
      </w:r>
      <w:r>
        <w:rPr>
          <w:rFonts w:ascii="Arial" w:cs="Arial" w:eastAsia="Arial" w:hAnsi="Arial"/>
          <w:sz w:val="18"/>
          <w:szCs w:val="18"/>
          <w:b w:val="1"/>
          <w:bCs w:val="1"/>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In the event of any inconsistency between the 2006 Definitions and the Equity Definitions, the Equity Definitions will govern.</w:t>
      </w:r>
    </w:p>
    <w:p>
      <w:pPr>
        <w:spacing w:after="0" w:line="184"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This Confirmation evidences a complete and binding agreement between BofA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2002 ISDA Master Agreement (the “</w:t>
      </w:r>
      <w:r>
        <w:rPr>
          <w:rFonts w:ascii="Arial" w:cs="Arial" w:eastAsia="Arial" w:hAnsi="Arial"/>
          <w:sz w:val="18"/>
          <w:szCs w:val="18"/>
          <w:b w:val="1"/>
          <w:bCs w:val="1"/>
          <w:color w:val="auto"/>
        </w:rPr>
        <w:t>ISDA</w:t>
      </w:r>
      <w:r>
        <w:rPr>
          <w:rFonts w:ascii="Arial" w:cs="Arial" w:eastAsia="Arial" w:hAnsi="Arial"/>
          <w:sz w:val="18"/>
          <w:szCs w:val="18"/>
          <w:color w:val="auto"/>
        </w:rPr>
        <w:t xml:space="preserve"> </w:t>
      </w:r>
      <w:r>
        <w:rPr>
          <w:rFonts w:ascii="Arial" w:cs="Arial" w:eastAsia="Arial" w:hAnsi="Arial"/>
          <w:sz w:val="18"/>
          <w:szCs w:val="18"/>
          <w:b w:val="1"/>
          <w:bCs w:val="1"/>
          <w:color w:val="auto"/>
        </w:rPr>
        <w:t>Form</w:t>
      </w:r>
      <w:r>
        <w:rPr>
          <w:rFonts w:ascii="Arial" w:cs="Arial" w:eastAsia="Arial" w:hAnsi="Arial"/>
          <w:sz w:val="18"/>
          <w:szCs w:val="18"/>
          <w:color w:val="auto"/>
        </w:rPr>
        <w:t>”) as if BofA and Counterparty had executed an agreement in such form (without any Schedule but with the elections set forth in this Confirmation).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 shall be the only Transaction under the Agreement.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 The Transaction is a Share Forward Transaction within the meaning set forth in the Equity Definitions.</w:t>
      </w:r>
    </w:p>
    <w:p>
      <w:pPr>
        <w:spacing w:after="0" w:line="1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terms of the particular Transaction to which this Confirmation relates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00"/>
          </w:cols>
          <w:pgMar w:left="240" w:top="148" w:right="259" w:bottom="1440" w:gutter="0" w:footer="0" w:header="0"/>
          <w:type w:val="continuous"/>
        </w:sectPr>
      </w:pP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February 16, 2016</w:t>
      </w:r>
    </w:p>
    <w:p>
      <w:pPr>
        <w:spacing w:after="0" w:line="140" w:lineRule="exact"/>
        <w:rPr>
          <w:sz w:val="20"/>
          <w:szCs w:val="20"/>
          <w:color w:val="auto"/>
        </w:rPr>
      </w:pPr>
    </w:p>
    <w:p>
      <w:pPr>
        <w:sectPr>
          <w:pgSz w:w="11900" w:h="16838" w:orient="portrait"/>
          <w:cols w:equalWidth="0" w:num="2">
            <w:col w:w="2700" w:space="720"/>
            <w:col w:w="7980"/>
          </w:cols>
          <w:pgMar w:left="240" w:top="148"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w:t>
      </w:r>
    </w:p>
    <w:p>
      <w:pPr>
        <w:spacing w:after="0" w:line="117" w:lineRule="exact"/>
        <w:rPr>
          <w:sz w:val="20"/>
          <w:szCs w:val="20"/>
          <w:color w:val="auto"/>
        </w:rPr>
      </w:pPr>
    </w:p>
    <w:p>
      <w:pPr>
        <w:sectPr>
          <w:pgSz w:w="11900" w:h="16838" w:orient="portrait"/>
          <w:cols w:equalWidth="0" w:num="2">
            <w:col w:w="2700" w:space="720"/>
            <w:col w:w="7980"/>
          </w:cols>
          <w:pgMar w:left="240" w:top="148" w:right="2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w:t>
      </w:r>
    </w:p>
    <w:p>
      <w:pPr>
        <w:spacing w:after="0" w:line="140" w:lineRule="exact"/>
        <w:rPr>
          <w:sz w:val="20"/>
          <w:szCs w:val="20"/>
          <w:color w:val="auto"/>
        </w:rPr>
      </w:pPr>
    </w:p>
    <w:p>
      <w:pPr>
        <w:sectPr>
          <w:pgSz w:w="11900" w:h="16838" w:orient="portrait"/>
          <w:cols w:equalWidth="0" w:num="2">
            <w:col w:w="2700" w:space="720"/>
            <w:col w:w="7980"/>
          </w:cols>
          <w:pgMar w:left="240" w:top="148" w:right="25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common stock of Counterparty, par value USD 0.0001 per share (Ticker Symbol: “QRVO”)</w:t>
      </w:r>
    </w:p>
    <w:p>
      <w:pPr>
        <w:spacing w:after="0" w:line="140" w:lineRule="exact"/>
        <w:rPr>
          <w:sz w:val="20"/>
          <w:szCs w:val="20"/>
          <w:color w:val="auto"/>
        </w:rPr>
      </w:pPr>
    </w:p>
    <w:p>
      <w:pPr>
        <w:sectPr>
          <w:pgSz w:w="11900" w:h="16838" w:orient="portrait"/>
          <w:cols w:equalWidth="0" w:num="2">
            <w:col w:w="2700" w:space="720"/>
            <w:col w:w="7980"/>
          </w:cols>
          <w:pgMar w:left="240" w:top="148" w:right="25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Prepayment: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ectPr>
          <w:pgSz w:w="11900" w:h="16838" w:orient="portrait"/>
          <w:cols w:equalWidth="0" w:num="2">
            <w:col w:w="2700" w:space="720"/>
            <w:col w:w="7980"/>
          </w:cols>
          <w:pgMar w:left="240" w:top="148" w:right="25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3300" w:type="dxa"/>
            <w:vAlign w:val="bottom"/>
          </w:tcPr>
          <w:p>
            <w:pPr>
              <w:ind w:left="660"/>
              <w:spacing w:after="0"/>
              <w:rPr>
                <w:sz w:val="20"/>
                <w:szCs w:val="20"/>
                <w:color w:val="auto"/>
              </w:rPr>
            </w:pPr>
            <w:r>
              <w:rPr>
                <w:rFonts w:ascii="Arial" w:cs="Arial" w:eastAsia="Arial" w:hAnsi="Arial"/>
                <w:sz w:val="18"/>
                <w:szCs w:val="18"/>
                <w:color w:val="auto"/>
              </w:rPr>
              <w:t>Prepayment Amount:</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As provided in Annex B to this Confirmation.</w:t>
            </w:r>
          </w:p>
        </w:tc>
      </w:tr>
      <w:tr>
        <w:trPr>
          <w:trHeight w:val="324"/>
        </w:trPr>
        <w:tc>
          <w:tcPr>
            <w:tcW w:w="3300" w:type="dxa"/>
            <w:vAlign w:val="bottom"/>
          </w:tcPr>
          <w:p>
            <w:pPr>
              <w:ind w:left="660"/>
              <w:spacing w:after="0"/>
              <w:rPr>
                <w:sz w:val="20"/>
                <w:szCs w:val="20"/>
                <w:color w:val="auto"/>
              </w:rPr>
            </w:pPr>
            <w:r>
              <w:rPr>
                <w:rFonts w:ascii="Arial" w:cs="Arial" w:eastAsia="Arial" w:hAnsi="Arial"/>
                <w:sz w:val="18"/>
                <w:szCs w:val="18"/>
                <w:color w:val="auto"/>
              </w:rPr>
              <w:t>Prepayment Date:</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The first Exchange Business Day following the Trade Date</w:t>
            </w:r>
          </w:p>
        </w:tc>
      </w:tr>
      <w:tr>
        <w:trPr>
          <w:trHeight w:val="324"/>
        </w:trPr>
        <w:tc>
          <w:tcPr>
            <w:tcW w:w="3300" w:type="dxa"/>
            <w:vAlign w:val="bottom"/>
          </w:tcPr>
          <w:p>
            <w:pPr>
              <w:ind w:left="660"/>
              <w:spacing w:after="0"/>
              <w:rPr>
                <w:sz w:val="20"/>
                <w:szCs w:val="20"/>
                <w:color w:val="auto"/>
              </w:rPr>
            </w:pPr>
            <w:r>
              <w:rPr>
                <w:rFonts w:ascii="Arial" w:cs="Arial" w:eastAsia="Arial" w:hAnsi="Arial"/>
                <w:sz w:val="18"/>
                <w:szCs w:val="18"/>
                <w:color w:val="auto"/>
              </w:rPr>
              <w:t>Exchange:</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Nasdaq Global Select</w:t>
            </w:r>
          </w:p>
        </w:tc>
      </w:tr>
      <w:tr>
        <w:trPr>
          <w:trHeight w:val="324"/>
        </w:trPr>
        <w:tc>
          <w:tcPr>
            <w:tcW w:w="3300" w:type="dxa"/>
            <w:vAlign w:val="bottom"/>
          </w:tcPr>
          <w:p>
            <w:pPr>
              <w:ind w:left="660"/>
              <w:spacing w:after="0"/>
              <w:rPr>
                <w:sz w:val="20"/>
                <w:szCs w:val="20"/>
                <w:color w:val="auto"/>
              </w:rPr>
            </w:pPr>
            <w:r>
              <w:rPr>
                <w:rFonts w:ascii="Arial" w:cs="Arial" w:eastAsia="Arial" w:hAnsi="Arial"/>
                <w:sz w:val="18"/>
                <w:szCs w:val="18"/>
                <w:color w:val="auto"/>
              </w:rPr>
              <w:t>Related Exchange(s):</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All Exchanges</w:t>
            </w:r>
          </w:p>
        </w:tc>
      </w:tr>
      <w:tr>
        <w:trPr>
          <w:trHeight w:val="310"/>
        </w:trPr>
        <w:tc>
          <w:tcPr>
            <w:tcW w:w="3300" w:type="dxa"/>
            <w:vAlign w:val="bottom"/>
          </w:tcPr>
          <w:p>
            <w:pPr>
              <w:ind w:left="660"/>
              <w:spacing w:after="0"/>
              <w:rPr>
                <w:sz w:val="20"/>
                <w:szCs w:val="20"/>
                <w:color w:val="auto"/>
              </w:rPr>
            </w:pPr>
            <w:r>
              <w:rPr>
                <w:rFonts w:ascii="Arial" w:cs="Arial" w:eastAsia="Arial" w:hAnsi="Arial"/>
                <w:sz w:val="18"/>
                <w:szCs w:val="18"/>
                <w:color w:val="auto"/>
              </w:rPr>
              <w:t>Calculation Agent:</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4"/>
              </w:rPr>
              <w:t>Bank of America, N.A. All calculations and determinations by the Calculation Agent shall be made in good</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1"/>
              </w:rPr>
              <w:t>faith and in a commercially reasonable manner. Following any determination, adjustment or calculation by the</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4"/>
              </w:rPr>
              <w:t>Calculation Agent, the Calculation Agent will upon request by Counterparty promptly following (and, in any</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1"/>
              </w:rPr>
              <w:t>event, within five Exchange Business Days of) such request, provide to Counterparty a report (in a commonly</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7"/>
              </w:rPr>
              <w:t>used file format for the storage and manipulation of financial data without disclosing any confidential or</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3"/>
              </w:rPr>
              <w:t>proprietary models or other information that is confidential or proprietary) displaying in reasonable detail the</w:t>
            </w:r>
          </w:p>
        </w:tc>
      </w:tr>
      <w:tr>
        <w:trPr>
          <w:trHeight w:val="230"/>
        </w:trPr>
        <w:tc>
          <w:tcPr>
            <w:tcW w:w="3300" w:type="dxa"/>
            <w:vAlign w:val="bottom"/>
          </w:tcPr>
          <w:p>
            <w:pPr>
              <w:spacing w:after="0"/>
              <w:rPr>
                <w:sz w:val="20"/>
                <w:szCs w:val="20"/>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basis for such determination, adjustment or calculation, as the case may be.</w:t>
            </w: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Valuation Terms:</w:t>
            </w:r>
          </w:p>
        </w:tc>
        <w:tc>
          <w:tcPr>
            <w:tcW w:w="4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10"/>
        </w:trPr>
        <w:tc>
          <w:tcPr>
            <w:tcW w:w="3300" w:type="dxa"/>
            <w:vAlign w:val="bottom"/>
          </w:tcPr>
          <w:p>
            <w:pPr>
              <w:ind w:left="660"/>
              <w:spacing w:after="0"/>
              <w:rPr>
                <w:sz w:val="20"/>
                <w:szCs w:val="20"/>
                <w:color w:val="auto"/>
              </w:rPr>
            </w:pPr>
            <w:r>
              <w:rPr>
                <w:rFonts w:ascii="Arial" w:cs="Arial" w:eastAsia="Arial" w:hAnsi="Arial"/>
                <w:sz w:val="18"/>
                <w:szCs w:val="18"/>
                <w:color w:val="auto"/>
              </w:rPr>
              <w:t>Initial Period Averaging Dates:</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1"/>
              </w:rPr>
              <w:t>Each of the consecutive Exchange Business Days commencing on, but excluding, the Trade Date and ending</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6"/>
              </w:rPr>
              <w:t>on, and including, the Initial Period End Date (or if such date is not an Exchange Business Day, the next</w:t>
            </w:r>
          </w:p>
        </w:tc>
      </w:tr>
      <w:tr>
        <w:trPr>
          <w:trHeight w:val="230"/>
        </w:trPr>
        <w:tc>
          <w:tcPr>
            <w:tcW w:w="3300" w:type="dxa"/>
            <w:vAlign w:val="bottom"/>
          </w:tcPr>
          <w:p>
            <w:pPr>
              <w:spacing w:after="0"/>
              <w:rPr>
                <w:sz w:val="20"/>
                <w:szCs w:val="20"/>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following Exchange Business Day).</w:t>
            </w:r>
          </w:p>
        </w:tc>
      </w:tr>
      <w:tr>
        <w:trPr>
          <w:trHeight w:val="310"/>
        </w:trPr>
        <w:tc>
          <w:tcPr>
            <w:tcW w:w="3300" w:type="dxa"/>
            <w:vAlign w:val="bottom"/>
          </w:tcPr>
          <w:p>
            <w:pPr>
              <w:ind w:left="660"/>
              <w:spacing w:after="0"/>
              <w:rPr>
                <w:sz w:val="20"/>
                <w:szCs w:val="20"/>
                <w:color w:val="auto"/>
              </w:rPr>
            </w:pPr>
            <w:r>
              <w:rPr>
                <w:rFonts w:ascii="Arial" w:cs="Arial" w:eastAsia="Arial" w:hAnsi="Arial"/>
                <w:sz w:val="18"/>
                <w:szCs w:val="18"/>
                <w:color w:val="auto"/>
              </w:rPr>
              <w:t>Initial Period End Date:</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3"/>
              </w:rPr>
              <w:t xml:space="preserve">The Scheduled Initial Period End Date;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BofA shall have the right, in its absolute discretion, at</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2"/>
              </w:rPr>
              <w:t>any time to accelerate the Initial Period End Date to any date that is on or after the Earliest Initial Period End</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5"/>
              </w:rPr>
              <w:t>Date by delivery of a Supplemental Terms Notice to Counterparty no later than 8:00 P.M., New York City</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2"/>
              </w:rPr>
              <w:t>time, on the accelerated Initial Period End Date. BofA shall determine the Minimum Shares, the Initial Price,</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the Floor Price and the Cap Price in the manner set forth below, and shall deliver to Counterparty a</w:t>
            </w:r>
          </w:p>
        </w:tc>
      </w:tr>
      <w:tr>
        <w:trPr>
          <w:trHeight w:val="190"/>
        </w:trPr>
        <w:tc>
          <w:tcPr>
            <w:tcW w:w="3300" w:type="dxa"/>
            <w:vAlign w:val="bottom"/>
          </w:tcPr>
          <w:p>
            <w:pPr>
              <w:spacing w:after="0"/>
              <w:rPr>
                <w:sz w:val="16"/>
                <w:szCs w:val="16"/>
                <w:color w:val="auto"/>
              </w:rPr>
            </w:pPr>
          </w:p>
        </w:tc>
        <w:tc>
          <w:tcPr>
            <w:tcW w:w="808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Supplemental Terms Notice substantially in the form of Schedule A to this Confirmation.</w:t>
            </w:r>
          </w:p>
        </w:tc>
      </w:tr>
      <w:tr>
        <w:trPr>
          <w:trHeight w:val="345"/>
        </w:trPr>
        <w:tc>
          <w:tcPr>
            <w:tcW w:w="3300" w:type="dxa"/>
            <w:vAlign w:val="bottom"/>
          </w:tcPr>
          <w:p>
            <w:pPr>
              <w:ind w:left="660"/>
              <w:spacing w:after="0"/>
              <w:rPr>
                <w:sz w:val="20"/>
                <w:szCs w:val="20"/>
                <w:color w:val="auto"/>
              </w:rPr>
            </w:pPr>
            <w:r>
              <w:rPr>
                <w:rFonts w:ascii="Arial" w:cs="Arial" w:eastAsia="Arial" w:hAnsi="Arial"/>
                <w:sz w:val="18"/>
                <w:szCs w:val="18"/>
                <w:color w:val="auto"/>
                <w:w w:val="95"/>
              </w:rPr>
              <w:t>Scheduled Initial Period End Date:</w:t>
            </w:r>
          </w:p>
        </w:tc>
        <w:tc>
          <w:tcPr>
            <w:tcW w:w="4180" w:type="dxa"/>
            <w:vAlign w:val="bottom"/>
          </w:tcPr>
          <w:p>
            <w:pPr>
              <w:ind w:left="120"/>
              <w:spacing w:after="0"/>
              <w:rPr>
                <w:sz w:val="20"/>
                <w:szCs w:val="20"/>
                <w:color w:val="auto"/>
              </w:rPr>
            </w:pPr>
            <w:r>
              <w:rPr>
                <w:rFonts w:ascii="Arial" w:cs="Arial" w:eastAsia="Arial" w:hAnsi="Arial"/>
                <w:sz w:val="18"/>
                <w:szCs w:val="18"/>
                <w:color w:val="auto"/>
              </w:rPr>
              <w:t>As provided in Annex B to this Confirmation.</w:t>
            </w:r>
          </w:p>
        </w:tc>
        <w:tc>
          <w:tcPr>
            <w:tcW w:w="82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r>
      <w:tr>
        <w:trPr>
          <w:trHeight w:val="324"/>
        </w:trPr>
        <w:tc>
          <w:tcPr>
            <w:tcW w:w="3300" w:type="dxa"/>
            <w:vAlign w:val="bottom"/>
          </w:tcPr>
          <w:p>
            <w:pPr>
              <w:ind w:left="660"/>
              <w:spacing w:after="0"/>
              <w:rPr>
                <w:sz w:val="20"/>
                <w:szCs w:val="20"/>
                <w:color w:val="auto"/>
              </w:rPr>
            </w:pPr>
            <w:r>
              <w:rPr>
                <w:rFonts w:ascii="Arial" w:cs="Arial" w:eastAsia="Arial" w:hAnsi="Arial"/>
                <w:sz w:val="18"/>
                <w:szCs w:val="18"/>
                <w:color w:val="auto"/>
              </w:rPr>
              <w:t>Earliest Initial Period End Date:</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As provided in Annex B to this Confirmation.</w:t>
            </w:r>
          </w:p>
        </w:tc>
      </w:tr>
      <w:tr>
        <w:trPr>
          <w:trHeight w:val="418"/>
        </w:trPr>
        <w:tc>
          <w:tcPr>
            <w:tcW w:w="3300" w:type="dxa"/>
            <w:vAlign w:val="bottom"/>
          </w:tcPr>
          <w:p>
            <w:pPr>
              <w:ind w:left="660"/>
              <w:spacing w:after="0"/>
              <w:rPr>
                <w:sz w:val="20"/>
                <w:szCs w:val="20"/>
                <w:color w:val="auto"/>
              </w:rPr>
            </w:pPr>
            <w:r>
              <w:rPr>
                <w:rFonts w:ascii="Arial" w:cs="Arial" w:eastAsia="Arial" w:hAnsi="Arial"/>
                <w:sz w:val="18"/>
                <w:szCs w:val="18"/>
                <w:color w:val="auto"/>
              </w:rPr>
              <w:t>Averaging Dates:</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89"/>
              </w:rPr>
              <w:t>Each of the consecutive Exchange Business Days commencing on, and including, the Exchange Business Day</w:t>
            </w:r>
          </w:p>
        </w:tc>
      </w:tr>
      <w:tr>
        <w:trPr>
          <w:trHeight w:val="230"/>
        </w:trPr>
        <w:tc>
          <w:tcPr>
            <w:tcW w:w="3300" w:type="dxa"/>
            <w:vAlign w:val="bottom"/>
          </w:tcPr>
          <w:p>
            <w:pPr>
              <w:spacing w:after="0"/>
              <w:rPr>
                <w:sz w:val="20"/>
                <w:szCs w:val="20"/>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immediately following the Trade Date and ending on and including the Final Averaging Date.</w:t>
            </w:r>
          </w:p>
        </w:tc>
      </w:tr>
      <w:tr>
        <w:trPr>
          <w:trHeight w:val="310"/>
        </w:trPr>
        <w:tc>
          <w:tcPr>
            <w:tcW w:w="3300" w:type="dxa"/>
            <w:vAlign w:val="bottom"/>
          </w:tcPr>
          <w:p>
            <w:pPr>
              <w:ind w:left="660"/>
              <w:spacing w:after="0"/>
              <w:rPr>
                <w:sz w:val="20"/>
                <w:szCs w:val="20"/>
                <w:color w:val="auto"/>
              </w:rPr>
            </w:pPr>
            <w:r>
              <w:rPr>
                <w:rFonts w:ascii="Arial" w:cs="Arial" w:eastAsia="Arial" w:hAnsi="Arial"/>
                <w:sz w:val="18"/>
                <w:szCs w:val="18"/>
                <w:color w:val="auto"/>
              </w:rPr>
              <w:t>Final Averaging Date:</w:t>
            </w: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1"/>
              </w:rPr>
              <w:t xml:space="preserve">The Scheduled Final Averaging Date;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BofA shall have the right, in its absolute discretion, at any</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2"/>
              </w:rPr>
              <w:t>time to accelerate the Final Averaging Date, in whole or in part, to any date that is on or after the Scheduled</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3"/>
              </w:rPr>
              <w:t>Earliest Acceleration Date by written notice to Counterparty no later than 8:00 P.M., New York City time, on</w:t>
            </w:r>
          </w:p>
        </w:tc>
      </w:tr>
      <w:tr>
        <w:trPr>
          <w:trHeight w:val="230"/>
        </w:trPr>
        <w:tc>
          <w:tcPr>
            <w:tcW w:w="3300" w:type="dxa"/>
            <w:vAlign w:val="bottom"/>
          </w:tcPr>
          <w:p>
            <w:pPr>
              <w:spacing w:after="0"/>
              <w:rPr>
                <w:sz w:val="20"/>
                <w:szCs w:val="20"/>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the Scheduled Trading Day immediately preceding the Settlement Date.</w:t>
            </w:r>
          </w:p>
        </w:tc>
      </w:tr>
      <w:tr>
        <w:trPr>
          <w:trHeight w:val="310"/>
        </w:trPr>
        <w:tc>
          <w:tcPr>
            <w:tcW w:w="3300" w:type="dxa"/>
            <w:vAlign w:val="bottom"/>
          </w:tcPr>
          <w:p>
            <w:pPr>
              <w:spacing w:after="0"/>
              <w:rPr>
                <w:sz w:val="24"/>
                <w:szCs w:val="24"/>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6"/>
              </w:rPr>
              <w:t>In the case of any acceleration of the Final Averaging Date in part (a “</w:t>
            </w:r>
            <w:r>
              <w:rPr>
                <w:rFonts w:ascii="Arial" w:cs="Arial" w:eastAsia="Arial" w:hAnsi="Arial"/>
                <w:sz w:val="18"/>
                <w:szCs w:val="18"/>
                <w:b w:val="1"/>
                <w:bCs w:val="1"/>
                <w:color w:val="auto"/>
                <w:w w:val="96"/>
              </w:rPr>
              <w:t>Partial Acceleration</w:t>
            </w:r>
            <w:r>
              <w:rPr>
                <w:rFonts w:ascii="Arial" w:cs="Arial" w:eastAsia="Arial" w:hAnsi="Arial"/>
                <w:sz w:val="18"/>
                <w:szCs w:val="18"/>
                <w:color w:val="auto"/>
                <w:w w:val="96"/>
              </w:rPr>
              <w:t>”), BofA shall</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specify in its written notice to Counterparty accelerating the Final Averaging Date the corresponding</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9"/>
              </w:rPr>
              <w:t>percentage of the Prepayment Amount that is subject to valuation on the related Valuation Date, and</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8"/>
              </w:rPr>
              <w:t>Calculation Agent shall adjust the terms of the Transaction as it deems appropriate, in a commercially</w:t>
            </w:r>
          </w:p>
        </w:tc>
      </w:tr>
      <w:tr>
        <w:trPr>
          <w:trHeight w:val="216"/>
        </w:trPr>
        <w:tc>
          <w:tcPr>
            <w:tcW w:w="330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w w:val="97"/>
              </w:rPr>
              <w:t>reasonable manner, in order to take into account the occurrence of such Partial Acceleration (including</w:t>
            </w:r>
          </w:p>
        </w:tc>
      </w:tr>
      <w:tr>
        <w:trPr>
          <w:trHeight w:val="230"/>
        </w:trPr>
        <w:tc>
          <w:tcPr>
            <w:tcW w:w="3300" w:type="dxa"/>
            <w:vAlign w:val="bottom"/>
          </w:tcPr>
          <w:p>
            <w:pPr>
              <w:spacing w:after="0"/>
              <w:rPr>
                <w:sz w:val="20"/>
                <w:szCs w:val="20"/>
                <w:color w:val="auto"/>
              </w:rPr>
            </w:pPr>
          </w:p>
        </w:tc>
        <w:tc>
          <w:tcPr>
            <w:tcW w:w="8080" w:type="dxa"/>
            <w:vAlign w:val="bottom"/>
            <w:gridSpan w:val="3"/>
          </w:tcPr>
          <w:p>
            <w:pPr>
              <w:ind w:left="120"/>
              <w:spacing w:after="0"/>
              <w:rPr>
                <w:sz w:val="20"/>
                <w:szCs w:val="20"/>
                <w:color w:val="auto"/>
              </w:rPr>
            </w:pPr>
            <w:r>
              <w:rPr>
                <w:rFonts w:ascii="Arial" w:cs="Arial" w:eastAsia="Arial" w:hAnsi="Arial"/>
                <w:sz w:val="18"/>
                <w:szCs w:val="18"/>
                <w:color w:val="auto"/>
              </w:rPr>
              <w:t>cumulative adjustments to take into account all Partial</w:t>
            </w:r>
          </w:p>
        </w:tc>
      </w:tr>
      <w:tr>
        <w:trPr>
          <w:trHeight w:val="567"/>
        </w:trPr>
        <w:tc>
          <w:tcPr>
            <w:tcW w:w="3300" w:type="dxa"/>
            <w:vAlign w:val="bottom"/>
          </w:tcPr>
          <w:p>
            <w:pPr>
              <w:spacing w:after="0"/>
              <w:rPr>
                <w:sz w:val="24"/>
                <w:szCs w:val="24"/>
                <w:color w:val="auto"/>
              </w:rPr>
            </w:pPr>
          </w:p>
        </w:tc>
        <w:tc>
          <w:tcPr>
            <w:tcW w:w="4180" w:type="dxa"/>
            <w:vAlign w:val="bottom"/>
          </w:tcPr>
          <w:p>
            <w:pPr>
              <w:ind w:left="236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380"/>
          </w:cols>
          <w:pgMar w:left="240" w:top="368" w:right="279" w:bottom="1440" w:gutter="0" w:footer="0" w:header="0"/>
        </w:sectPr>
      </w:pPr>
    </w:p>
    <w:bookmarkStart w:id="132" w:name="page133"/>
    <w:bookmarkEnd w:id="132"/>
    <w:p>
      <w:pPr>
        <w:ind w:left="2760" w:right="120"/>
        <w:spacing w:after="0" w:line="291" w:lineRule="auto"/>
        <w:rPr>
          <w:sz w:val="20"/>
          <w:szCs w:val="20"/>
          <w:color w:val="auto"/>
        </w:rPr>
      </w:pPr>
      <w:r>
        <w:rPr>
          <w:rFonts w:ascii="Arial" w:cs="Arial" w:eastAsia="Arial" w:hAnsi="Arial"/>
          <w:sz w:val="16"/>
          <w:szCs w:val="16"/>
          <w:color w:val="auto"/>
        </w:rPr>
        <w:t>Accelerations that occur during the term of the Transaction). For the avoidance of doubt, such adjustments shall be administrative or mechanical in nature and shall (i) not be based on an observable market, other than the market for the Shares, or an observable index, other than an index calculated or measured solely by reference to the Counterparty's own operations, (ii) be commercially reasonable in nature as permitted by the Transaction (such as to consider changes in volatility, expected dividends, stock price, strike price, stock loan rate or liquidity relevant to the Shares and Dealer’s ability to maintain a commercially reasonable hedge position in the underlying shares) and (iii) retain the Counterparty’s right for any settlement to be in Shares.</w:t>
      </w:r>
    </w:p>
    <w:p>
      <w:pPr>
        <w:spacing w:after="0" w:line="59"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Scheduled Final Averaging Date:</w:t>
      </w:r>
      <w:r>
        <w:rPr>
          <w:sz w:val="20"/>
          <w:szCs w:val="20"/>
          <w:color w:val="auto"/>
        </w:rPr>
        <w:tab/>
      </w:r>
      <w:r>
        <w:rPr>
          <w:rFonts w:ascii="Arial" w:cs="Arial" w:eastAsia="Arial" w:hAnsi="Arial"/>
          <w:sz w:val="16"/>
          <w:szCs w:val="16"/>
          <w:color w:val="auto"/>
        </w:rPr>
        <w:t>As provided in Annex B to this Confirmation.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Scheduled Earliest Acceleration Date: As provided in Annex B to this Confirmation.</w:t>
      </w:r>
    </w:p>
    <w:p>
      <w:pPr>
        <w:sectPr>
          <w:pgSz w:w="11900" w:h="16838" w:orient="portrait"/>
          <w:cols w:equalWidth="0" w:num="1">
            <w:col w:w="10760"/>
          </w:cols>
          <w:pgMar w:left="900" w:top="368"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Valuation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Final Averaging Date.</w:t>
      </w:r>
    </w:p>
    <w:p>
      <w:pPr>
        <w:spacing w:after="0" w:line="140" w:lineRule="exact"/>
        <w:rPr>
          <w:sz w:val="20"/>
          <w:szCs w:val="20"/>
          <w:color w:val="auto"/>
        </w:rPr>
      </w:pPr>
    </w:p>
    <w:p>
      <w:pPr>
        <w:sectPr>
          <w:pgSz w:w="11900" w:h="16838" w:orient="portrait"/>
          <w:cols w:equalWidth="0" w:num="2">
            <w:col w:w="2040" w:space="720"/>
            <w:col w:w="8000"/>
          </w:cols>
          <w:pgMar w:left="900" w:top="368" w:right="239" w:bottom="1440" w:gutter="0" w:footer="0" w:header="0"/>
          <w:type w:val="continuous"/>
        </w:sectPr>
      </w:pPr>
    </w:p>
    <w:p>
      <w:pPr>
        <w:spacing w:after="0"/>
        <w:rPr>
          <w:sz w:val="20"/>
          <w:szCs w:val="20"/>
          <w:color w:val="auto"/>
        </w:rPr>
      </w:pPr>
      <w:r>
        <w:rPr>
          <w:rFonts w:ascii="Arial" w:cs="Arial" w:eastAsia="Arial" w:hAnsi="Arial"/>
          <w:sz w:val="16"/>
          <w:szCs w:val="16"/>
          <w:color w:val="auto"/>
        </w:rPr>
        <w:t>Averaging Date Disruption:</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7"/>
          <w:szCs w:val="17"/>
          <w:color w:val="auto"/>
        </w:rPr>
        <w:t xml:space="preserve">Modified Postponement,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the Equity Definitions, if a Market Disruption Event occurs on any Initial Period Averaging Date or any Averaging Date, the Calculation Agent may, if appropriate in light of market conditions, regulatory considerations or otherwise, take any or all of the following actions: (i) postpone the Initial Period End Date or the Scheduled Final Averaging Date, as the case may be, in accordance with Modified Postponement (as modified herein) and/or (ii) determine that such Initial Period Averaging Date or Averaging Date is a Disrupted Day only in part, in which case the Calculation Agent shall (x) determine the VWAP Price for such Disrupted Day based on Rule 10b-18 eligible transactions in the Shares on such Disrupted Day taking into account the nature and duration of such Market Disruption Event and (y) determine the Initial Price or Settlement Price, as the case may be, based on an appropriately weighted average instead of the arithmetic average described under “Initial Price” or “Settlement Price,” as the case may be, below. Any Exchange Business Day on which, as of the date hereof, the Exchange is scheduled to close prior to its normal close of trading shall be deemed not to be an Exchange Business Day; if a closure of the Exchange prior to its normal close of trading on any Exchange Business Day is scheduled following the date hereof, then such Exchange Business Day shall be deemed to be a Disrupted Day in full. Section 6.6(a) of the Equity Definitions is hereby amended by replacing the word “shall” in the fifth line thereof with the word “may,” and by deleting clause (i) thereof, and Section 6.7(c)(iii)(A) of the Equity Definitions is hereby amended by replacing the word “shall” in the sixth and eighth line thereof with the word “may.”</w:t>
      </w:r>
    </w:p>
    <w:p>
      <w:pPr>
        <w:spacing w:after="0" w:line="83" w:lineRule="exact"/>
        <w:rPr>
          <w:sz w:val="20"/>
          <w:szCs w:val="20"/>
          <w:color w:val="auto"/>
        </w:rPr>
      </w:pPr>
    </w:p>
    <w:p>
      <w:pPr>
        <w:sectPr>
          <w:pgSz w:w="11900" w:h="16838" w:orient="portrait"/>
          <w:cols w:equalWidth="0" w:num="2">
            <w:col w:w="2040" w:space="720"/>
            <w:col w:w="8000"/>
          </w:cols>
          <w:pgMar w:left="900" w:top="368"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Market Disruption Events:</w:t>
      </w:r>
    </w:p>
    <w:p>
      <w:pPr>
        <w:spacing w:after="0" w:line="20" w:lineRule="exact"/>
        <w:rPr>
          <w:sz w:val="20"/>
          <w:szCs w:val="20"/>
          <w:color w:val="auto"/>
        </w:rPr>
      </w:pPr>
      <w:r>
        <w:rPr>
          <w:sz w:val="20"/>
          <w:szCs w:val="20"/>
          <w:color w:val="auto"/>
        </w:rPr>
        <w:br w:type="column"/>
      </w:r>
    </w:p>
    <w:p>
      <w:pPr>
        <w:ind w:right="80"/>
        <w:spacing w:after="0" w:line="279" w:lineRule="auto"/>
        <w:rPr>
          <w:sz w:val="20"/>
          <w:szCs w:val="20"/>
          <w:color w:val="auto"/>
        </w:rPr>
      </w:pPr>
      <w:r>
        <w:rPr>
          <w:rFonts w:ascii="Arial" w:cs="Arial" w:eastAsia="Arial" w:hAnsi="Arial"/>
          <w:sz w:val="17"/>
          <w:szCs w:val="17"/>
          <w:color w:val="auto"/>
        </w:rPr>
        <w:t>Section 6.3(a) of the Equity Definitions is hereby amended (A) by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p>
      <w:pPr>
        <w:spacing w:after="0" w:line="63" w:lineRule="exact"/>
        <w:rPr>
          <w:sz w:val="20"/>
          <w:szCs w:val="20"/>
          <w:color w:val="auto"/>
        </w:rPr>
      </w:pPr>
    </w:p>
    <w:p>
      <w:pPr>
        <w:sectPr>
          <w:pgSz w:w="11900" w:h="16838" w:orient="portrait"/>
          <w:cols w:equalWidth="0" w:num="2">
            <w:col w:w="2040" w:space="720"/>
            <w:col w:w="8000"/>
          </w:cols>
          <w:pgMar w:left="900" w:top="368" w:right="239" w:bottom="1440" w:gutter="0" w:footer="0" w:header="0"/>
          <w:type w:val="continuous"/>
        </w:sectPr>
      </w:pPr>
    </w:p>
    <w:p>
      <w:pPr>
        <w:ind w:left="2760" w:right="660"/>
        <w:spacing w:after="0" w:line="277"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pacing w:after="0" w:line="30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368" w:right="239" w:bottom="1440" w:gutter="0" w:footer="0" w:header="0"/>
          <w:type w:val="continuous"/>
        </w:sectPr>
      </w:pPr>
    </w:p>
    <w:bookmarkStart w:id="133" w:name="page134"/>
    <w:bookmarkEnd w:id="133"/>
    <w:p>
      <w:pPr>
        <w:ind w:left="660"/>
        <w:spacing w:after="0"/>
        <w:rPr>
          <w:sz w:val="20"/>
          <w:szCs w:val="20"/>
          <w:color w:val="auto"/>
        </w:rPr>
      </w:pPr>
      <w:r>
        <w:rPr>
          <w:rFonts w:ascii="Arial" w:cs="Arial" w:eastAsia="Arial" w:hAnsi="Arial"/>
          <w:sz w:val="18"/>
          <w:szCs w:val="18"/>
          <w:color w:val="auto"/>
        </w:rPr>
        <w:t>Regulatory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Share Delivery: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Share Delivery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Shares: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Minimum Share Delivery:</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Minimum Share Delivery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Minimum Shares: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Averaging Period Price: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VWAP Price: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Any event that BofA, in its good faith discretion and based on the advice of counsel, determines makes it appropriate with regard to any legal, regulatory or self-regulatory requirements or related policies and procedures (provided that such requirements, policies and procedures relate to regulatory issues and are generally applicable in similar situations and are applied in a consistent manner in similar transactions) for BofA to refrain from or decrease any market activity in connection with the Transaction. BofA shall notify Counterparty as soon as reasonably practicable that a Regulatory Disruption has occurred and the Initial Period Averaging Dates or Averaging Dates affected by it; provided that Calculation Agent, in making any adjustment to the terms of the Transaction as a result of a Regulatory Disruption, shall make any such adjustment by reference of such event on Dealer assuming Dealer maintains a commercially reasonable Hedge Position.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the Initial Share Delivery Date, BofA shall deliver to Counterparty the Initial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second Exchange Business Day following the 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Annex B to this Confirmation.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the Minimum Share Delivery Date, BofA shall deliver to Counterparty a number of Shares equal to the excess, if any, of the number of Minimum Shares over the number of Initial Shares.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first Exchange Business Day following the Initial Period End Date.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As set forth in the Supplemental Terms Notice, to be a number of Shares equal to (a) the Prepayment Amount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(b) the Cap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date that falls one Settlement Cycle following the Valuation Date.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the Settlement Date BofA shall deliver to Counterparty the Number of Shares to be Delivered or, if the Number of Shares to be Delivered is a negative number, the Counterparty Settlement Provisions in Annex A shall apply.</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A number of Shares equal to (i)(a) the Prepayment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Settlement Price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aggregate number of Shares delivered on the Initial Share Delivery Date and the Minimum Share Delivery Date.</w:t>
      </w:r>
    </w:p>
    <w:p>
      <w:pPr>
        <w:spacing w:after="0" w:line="73" w:lineRule="exact"/>
        <w:rPr>
          <w:sz w:val="20"/>
          <w:szCs w:val="20"/>
          <w:color w:val="auto"/>
        </w:rPr>
      </w:pPr>
    </w:p>
    <w:p>
      <w:pPr>
        <w:ind w:right="40" w:firstLine="5"/>
        <w:spacing w:after="0" w:line="277" w:lineRule="auto"/>
        <w:tabs>
          <w:tab w:leader="none" w:pos="2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Averaging Period Price is equal to or less than the Floor Price, the Settlement Price shall be the Floor Price;</w:t>
      </w:r>
    </w:p>
    <w:p>
      <w:pPr>
        <w:spacing w:after="0" w:line="62" w:lineRule="exact"/>
        <w:rPr>
          <w:rFonts w:ascii="Arial" w:cs="Arial" w:eastAsia="Arial" w:hAnsi="Arial"/>
          <w:sz w:val="18"/>
          <w:szCs w:val="18"/>
          <w:color w:val="auto"/>
        </w:rPr>
      </w:pPr>
    </w:p>
    <w:p>
      <w:pPr>
        <w:ind w:firstLine="5"/>
        <w:spacing w:after="0" w:line="277"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Averaging Period Price is equal to or greater than the Cap Price, the Settlement Price shall be the Cap Price; and</w:t>
      </w:r>
    </w:p>
    <w:p>
      <w:pPr>
        <w:spacing w:after="0" w:line="62" w:lineRule="exact"/>
        <w:rPr>
          <w:rFonts w:ascii="Arial" w:cs="Arial" w:eastAsia="Arial" w:hAnsi="Arial"/>
          <w:sz w:val="18"/>
          <w:szCs w:val="18"/>
          <w:color w:val="auto"/>
        </w:rPr>
      </w:pPr>
    </w:p>
    <w:p>
      <w:pPr>
        <w:ind w:right="380" w:firstLine="5"/>
        <w:spacing w:after="0" w:line="277" w:lineRule="auto"/>
        <w:tabs>
          <w:tab w:leader="none" w:pos="2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Averaging Period Price is less than the Cap Price but greater than the Floor Price, the Settlement Price shall be the Averaging Period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The arithmetic average of the VWAP Prices for all Averaging Dates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Discount.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any Initial Period Averaging Date or Averaging Date, the Rule 10b-18 dollar volume weighted average price per Share for such day based on transactions executed during such day, as reported on Bloomberg Page “QRVO &lt;Equity&gt; AQR SEC” (or any successor</w:t>
      </w:r>
    </w:p>
    <w:p>
      <w:pPr>
        <w:spacing w:after="0" w:line="31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180" w:space="240"/>
            <w:col w:w="7980"/>
          </w:cols>
          <w:pgMar w:left="240" w:top="368" w:right="259" w:bottom="1440" w:gutter="0" w:footer="0" w:header="0"/>
        </w:sectPr>
      </w:pPr>
    </w:p>
    <w:bookmarkStart w:id="134" w:name="page135"/>
    <w:bookmarkEnd w:id="134"/>
    <w:p>
      <w:pPr>
        <w:ind w:left="3420"/>
        <w:spacing w:after="0" w:line="311" w:lineRule="auto"/>
        <w:rPr>
          <w:sz w:val="20"/>
          <w:szCs w:val="20"/>
          <w:color w:val="auto"/>
        </w:rPr>
      </w:pPr>
      <w:r>
        <w:rPr>
          <w:rFonts w:ascii="Arial" w:cs="Arial" w:eastAsia="Arial" w:hAnsi="Arial"/>
          <w:sz w:val="18"/>
          <w:szCs w:val="18"/>
          <w:color w:val="auto"/>
        </w:rPr>
        <w:t>thereto) or, in the event such price is not so reported on such day for any reason or is manifestly incorrect, as reasonably determined in good faith and in a commercially reasonable manner by the Calculation Agent using a volume weighted method.</w:t>
      </w:r>
    </w:p>
    <w:p>
      <w:pPr>
        <w:sectPr>
          <w:pgSz w:w="11900" w:h="16838" w:orient="portrait"/>
          <w:cols w:equalWidth="0" w:num="1">
            <w:col w:w="11360"/>
          </w:cols>
          <w:pgMar w:left="240" w:top="395" w:right="299" w:bottom="1440" w:gutter="0" w:footer="0" w:header="0"/>
        </w:sectPr>
      </w:pP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Price Adjustment Amount: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As provided in Annex B to this Confirmation.</w:t>
      </w:r>
    </w:p>
    <w:p>
      <w:pPr>
        <w:spacing w:after="0" w:line="140"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Floor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set forth in the Supplemental Terms Notice, to be the Maximum Share Percentage of the Initial Price.</w:t>
      </w:r>
    </w:p>
    <w:p>
      <w:pPr>
        <w:spacing w:after="0" w:line="140"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Maximum Share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provided in Annex B to this Confirmation.</w:t>
      </w:r>
    </w:p>
    <w:p>
      <w:pPr>
        <w:spacing w:after="0" w:line="140" w:lineRule="exact"/>
        <w:rPr>
          <w:sz w:val="20"/>
          <w:szCs w:val="20"/>
          <w:color w:val="auto"/>
        </w:rPr>
      </w:pPr>
    </w:p>
    <w:p>
      <w:pPr>
        <w:sectPr>
          <w:pgSz w:w="11900" w:h="16838" w:orient="portrait"/>
          <w:cols w:equalWidth="0" w:num="2">
            <w:col w:w="2740" w:space="680"/>
            <w:col w:w="7940"/>
          </w:cols>
          <w:pgMar w:left="240" w:top="395" w:right="2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Cap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set forth in the Supplemental Terms Notice, to be the Minimum Share Percentage of the Initial Price.</w:t>
      </w:r>
    </w:p>
    <w:p>
      <w:pPr>
        <w:spacing w:after="0" w:line="140"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Minimum Share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provided in Annex B to this Confirmation.</w:t>
      </w:r>
    </w:p>
    <w:p>
      <w:pPr>
        <w:spacing w:after="0" w:line="140" w:lineRule="exact"/>
        <w:rPr>
          <w:sz w:val="20"/>
          <w:szCs w:val="20"/>
          <w:color w:val="auto"/>
        </w:rPr>
      </w:pPr>
    </w:p>
    <w:p>
      <w:pPr>
        <w:sectPr>
          <w:pgSz w:w="11900" w:h="16838" w:orient="portrait"/>
          <w:cols w:equalWidth="0" w:num="2">
            <w:col w:w="2720" w:space="700"/>
            <w:col w:w="7940"/>
          </w:cols>
          <w:pgMar w:left="240" w:top="395" w:right="29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Initial Price:</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As set forth in the Supplemental Terms Notice, to be the arithmetic average of the VWAP Prices for all Initial Period Averaging Dates.</w:t>
      </w:r>
    </w:p>
    <w:p>
      <w:pPr>
        <w:spacing w:after="0" w:line="62"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Excess Dividend Amount:</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For the avoidance of doubt, all references to the Excess Dividend Amount in Section 9.2(a)(iii) of the Equity Definitions shall be deleted.</w:t>
      </w:r>
    </w:p>
    <w:p>
      <w:pPr>
        <w:spacing w:after="0" w:line="62"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100"/>
        <w:spacing w:after="0" w:line="273" w:lineRule="auto"/>
        <w:rPr>
          <w:sz w:val="20"/>
          <w:szCs w:val="20"/>
          <w:color w:val="auto"/>
        </w:rPr>
      </w:pPr>
      <w:r>
        <w:rPr>
          <w:rFonts w:ascii="Arial" w:cs="Arial" w:eastAsia="Arial" w:hAnsi="Arial"/>
          <w:sz w:val="17"/>
          <w:szCs w:val="17"/>
          <w:color w:val="auto"/>
        </w:rPr>
        <w:t>To the extent either party is obligated to deliver Shares hereunder, the provisions of the last sentence of Section 9.2 and Sections 9.8, 9.9, 9.10,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Counterparty is the Issuer of the Shares) and 9.12 of the Equity Definitions will be applicable as if “Physical Settlement” applied to the Transaction.</w:t>
      </w:r>
    </w:p>
    <w:p>
      <w:pPr>
        <w:spacing w:after="0" w:line="70" w:lineRule="exact"/>
        <w:rPr>
          <w:sz w:val="20"/>
          <w:szCs w:val="20"/>
          <w:color w:val="auto"/>
        </w:rPr>
      </w:pPr>
    </w:p>
    <w:p>
      <w:pPr>
        <w:sectPr>
          <w:pgSz w:w="11900" w:h="16838" w:orient="portrait"/>
          <w:cols w:equalWidth="0" w:num="2">
            <w:col w:w="2760" w:space="660"/>
            <w:col w:w="7940"/>
          </w:cols>
          <w:pgMar w:left="240" w:top="39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Dividend:</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dividend or distribution on the Shares other than any dividend or distribution of the type described in Sections 11.2(e)(i), 11.2(e)(ii)(A) or 11.2(e)(ii)(B) of the Equity Definitions.</w:t>
      </w:r>
    </w:p>
    <w:p>
      <w:pPr>
        <w:spacing w:after="0" w:line="62"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spacing w:after="0"/>
        <w:rPr>
          <w:sz w:val="20"/>
          <w:szCs w:val="20"/>
          <w:color w:val="auto"/>
        </w:rPr>
      </w:pPr>
      <w:r>
        <w:rPr>
          <w:rFonts w:ascii="Arial" w:cs="Arial" w:eastAsia="Arial" w:hAnsi="Arial"/>
          <w:sz w:val="18"/>
          <w:szCs w:val="18"/>
          <w:color w:val="auto"/>
        </w:rPr>
        <w:t>Share Adjustments: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Calculation Agent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declaration or payment of Dividends shall not be a Potential Adjustment Event.</w:t>
      </w:r>
    </w:p>
    <w:p>
      <w:pPr>
        <w:spacing w:after="0" w:line="62"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ind w:left="3420" w:right="240"/>
        <w:spacing w:after="0" w:line="302" w:lineRule="auto"/>
        <w:rPr>
          <w:sz w:val="20"/>
          <w:szCs w:val="20"/>
          <w:color w:val="auto"/>
        </w:rPr>
      </w:pPr>
      <w:r>
        <w:rPr>
          <w:rFonts w:ascii="Arial" w:cs="Arial" w:eastAsia="Arial" w:hAnsi="Arial"/>
          <w:sz w:val="16"/>
          <w:szCs w:val="16"/>
          <w:color w:val="auto"/>
        </w:rPr>
        <w:t>It shall constitute an additional Potential Adjustment Event if the Scheduled Final Averaging Date is postponed pursuant to “Averaging Date Disruption” above, in which case the Calculation Agent may, in its commercially reasonable discretion, adjust any relevant terms of the Transaction as the Calculation Agent determines appropriate to account for the economic effect on the Transaction of such postponement.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Extraordinary Events: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Consequences of Merger Events:</w:t>
      </w:r>
    </w:p>
    <w:p>
      <w:pPr>
        <w:sectPr>
          <w:pgSz w:w="11900" w:h="16838" w:orient="portrait"/>
          <w:cols w:equalWidth="0" w:num="1">
            <w:col w:w="11360"/>
          </w:cols>
          <w:pgMar w:left="240" w:top="395" w:right="299" w:bottom="1440" w:gutter="0" w:footer="0" w:header="0"/>
          <w:type w:val="continuous"/>
        </w:sectPr>
      </w:pP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Share-for-Share: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140"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w:t>
      </w:r>
    </w:p>
    <w:p>
      <w:pPr>
        <w:spacing w:after="0" w:line="140"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Cancellation and Payment</w:t>
      </w:r>
    </w:p>
    <w:p>
      <w:pPr>
        <w:spacing w:after="0" w:line="140"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129"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ind w:left="640"/>
        <w:spacing w:after="0"/>
        <w:rPr>
          <w:sz w:val="20"/>
          <w:szCs w:val="20"/>
          <w:color w:val="auto"/>
        </w:rPr>
      </w:pPr>
      <w:r>
        <w:rPr>
          <w:rFonts w:ascii="Arial" w:cs="Arial" w:eastAsia="Arial" w:hAnsi="Arial"/>
          <w:sz w:val="15"/>
          <w:szCs w:val="15"/>
          <w:color w:val="auto"/>
        </w:rPr>
        <w:t>Consequences of Tender Offers:</w:t>
      </w:r>
    </w:p>
    <w:p>
      <w:pPr>
        <w:sectPr>
          <w:pgSz w:w="11900" w:h="16838" w:orient="portrait"/>
          <w:cols w:equalWidth="0" w:num="1">
            <w:col w:w="11360"/>
          </w:cols>
          <w:pgMar w:left="240" w:top="395" w:right="29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Share-for-Share: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Modified Calculation Agent Adjustment</w:t>
      </w:r>
    </w:p>
    <w:p>
      <w:pPr>
        <w:spacing w:after="0" w:line="200" w:lineRule="exact"/>
        <w:rPr>
          <w:sz w:val="20"/>
          <w:szCs w:val="20"/>
          <w:color w:val="auto"/>
        </w:rPr>
      </w:pPr>
    </w:p>
    <w:p>
      <w:pPr>
        <w:sectPr>
          <w:pgSz w:w="11900" w:h="16838" w:orient="portrait"/>
          <w:cols w:equalWidth="0" w:num="2">
            <w:col w:w="2700" w:space="720"/>
            <w:col w:w="7940"/>
          </w:cols>
          <w:pgMar w:left="240" w:top="395" w:right="299" w:bottom="1440" w:gutter="0" w:footer="0" w:header="0"/>
          <w:type w:val="continuous"/>
        </w:sectPr>
      </w:pP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395" w:right="299" w:bottom="1440" w:gutter="0" w:footer="0" w:header="0"/>
          <w:type w:val="continuous"/>
        </w:sectPr>
      </w:pPr>
    </w:p>
    <w:bookmarkStart w:id="135" w:name="page136"/>
    <w:bookmarkEnd w:id="135"/>
    <w:p>
      <w:pPr>
        <w:ind w:left="280" w:hanging="264"/>
        <w:spacing w:after="0"/>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Share-for-Other:</w:t>
      </w:r>
    </w:p>
    <w:p>
      <w:pPr>
        <w:spacing w:after="0" w:line="117" w:lineRule="exact"/>
        <w:rPr>
          <w:rFonts w:ascii="Arial" w:cs="Arial" w:eastAsia="Arial" w:hAnsi="Arial"/>
          <w:sz w:val="18"/>
          <w:szCs w:val="18"/>
          <w:color w:val="auto"/>
        </w:rPr>
      </w:pPr>
    </w:p>
    <w:p>
      <w:pPr>
        <w:ind w:left="260" w:hanging="244"/>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Share-for-Combined:</w:t>
      </w:r>
    </w:p>
    <w:p>
      <w:pPr>
        <w:spacing w:after="0" w:line="117" w:lineRule="exact"/>
        <w:rPr>
          <w:sz w:val="20"/>
          <w:szCs w:val="20"/>
          <w:color w:val="auto"/>
        </w:rPr>
      </w:pPr>
    </w:p>
    <w:p>
      <w:pPr>
        <w:ind w:left="20" w:right="460" w:hanging="12"/>
        <w:spacing w:after="0" w:line="342" w:lineRule="auto"/>
        <w:rPr>
          <w:sz w:val="20"/>
          <w:szCs w:val="20"/>
          <w:color w:val="auto"/>
        </w:rPr>
      </w:pPr>
      <w:r>
        <w:rPr>
          <w:rFonts w:ascii="Arial" w:cs="Arial" w:eastAsia="Arial" w:hAnsi="Arial"/>
          <w:sz w:val="16"/>
          <w:szCs w:val="16"/>
          <w:color w:val="auto"/>
        </w:rPr>
        <w:t>Composition of Combined Consideration:</w:t>
      </w:r>
    </w:p>
    <w:p>
      <w:pPr>
        <w:spacing w:after="0" w:line="16" w:lineRule="exact"/>
        <w:rPr>
          <w:sz w:val="20"/>
          <w:szCs w:val="20"/>
          <w:color w:val="auto"/>
        </w:rPr>
      </w:pPr>
    </w:p>
    <w:p>
      <w:pPr>
        <w:ind w:left="20" w:hanging="12"/>
        <w:spacing w:after="0" w:line="277" w:lineRule="auto"/>
        <w:rPr>
          <w:sz w:val="20"/>
          <w:szCs w:val="20"/>
          <w:color w:val="auto"/>
        </w:rPr>
      </w:pPr>
      <w:r>
        <w:rPr>
          <w:rFonts w:ascii="Arial" w:cs="Arial" w:eastAsia="Arial" w:hAnsi="Arial"/>
          <w:sz w:val="18"/>
          <w:szCs w:val="18"/>
          <w:color w:val="auto"/>
        </w:rPr>
        <w:t>Consequences of Announcement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Announcement Event:</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Announcement Date:</w:t>
      </w:r>
    </w:p>
    <w:p>
      <w:pPr>
        <w:spacing w:after="0" w:line="333" w:lineRule="exact"/>
        <w:rPr>
          <w:sz w:val="20"/>
          <w:szCs w:val="20"/>
          <w:color w:val="auto"/>
        </w:rPr>
      </w:pPr>
    </w:p>
    <w:p>
      <w:pPr>
        <w:ind w:left="20" w:right="80" w:hanging="12"/>
        <w:spacing w:after="0" w:line="342" w:lineRule="auto"/>
        <w:rPr>
          <w:sz w:val="20"/>
          <w:szCs w:val="20"/>
          <w:color w:val="auto"/>
        </w:rPr>
      </w:pPr>
      <w:r>
        <w:rPr>
          <w:rFonts w:ascii="Arial" w:cs="Arial" w:eastAsia="Arial" w:hAnsi="Arial"/>
          <w:sz w:val="16"/>
          <w:szCs w:val="16"/>
          <w:color w:val="auto"/>
        </w:rPr>
        <w:t>Provisions applicable to Merger Events and Tender Offers: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Shares: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Nationalization, Insolvency 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Additional Disruption Events: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Law: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Failure to Deliver: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Insolvency Filing: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Hedging Disruption: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Increased Cost of Hedging: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Loss of Stock Borrow:</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Maximum Stock Loan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Modified Calculation Agent Adjustment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Modified Calculation Agent Adjustment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Modified Calculation Agent Adjustment as set forth in Section 12.3(d) of the Equity Definitions;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references to “Tender Offer” shall be replaced by references to “Announcement Event” and references to “Tender Offer Date” shall be replaced by references to “Announcement Date.” An Announcement Event shall be an “Extraordinary Event” for purposes of the Equity Definitions, to which Article 12 of the Equity Definitions is applicable.</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occurrence of an Announcement Date in respect of a potential Acquisition Transaction (as defined in Section 9 below).</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date of the first public announcement in relation to an Acquisition Transaction, or any publicly announced change or amendment to the announcement giving rise to an Announcement Date.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consequences set forth opposite “Consequences of Merger Events” and “Consequences of Tender Offers” above shall apply regardless of whether a particular Merger Event or Tender Offer relates to an Announcement Date for which an adjustment has been made pursuant to Consequences of Announcement Events, without duplication of any such adjustment.</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definition of New Shares in Section 12.1(i) of the Equity Definitions, the text in clause (i) thereof shall be deleted in its entirety (including the word “and” following such clause (i)) and replaced with “publicly quoted, traded or listed on any of the New York Stock Exchange, The NASDAQ Global Select Market or The NASDAQ Global Market (or their respective successors)”.</w:t>
      </w:r>
    </w:p>
    <w:p>
      <w:pPr>
        <w:spacing w:after="0" w:line="29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Cancellation and Payment (Calculation Agent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addition to the provisions of Section 12.6(a)(iii) of the Equity Definitions, it shall also constitute a Delisting if the Exchange is located in the United States and the Shares are not immediately re-listed, re-traded or re-quoted on any of the New York Stock Exchange, The NASDAQ Global Market or The NASDAQ Global Select Market (or their respective successors); if the Shares are immediately re-listed, re-traded or re-quoted on any such exchange or quotation system, such exchange or quotation system shall thereafter be deemed to be the Exchange.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Annex B to this Confirmation.</w:t>
      </w:r>
    </w:p>
    <w:p>
      <w:pPr>
        <w:spacing w:after="0" w:line="36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380" w:space="400"/>
            <w:col w:w="7980"/>
          </w:cols>
          <w:pgMar w:left="880" w:top="368" w:right="2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w w:val="98"/>
              </w:rPr>
              <w:t>Increased Cost of Stock Borrow:</w:t>
            </w:r>
          </w:p>
        </w:tc>
        <w:tc>
          <w:tcPr>
            <w:tcW w:w="584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rPr>
              <w:t>Initial Stock Loan Rate:</w:t>
            </w:r>
          </w:p>
        </w:tc>
        <w:tc>
          <w:tcPr>
            <w:tcW w:w="5840" w:type="dxa"/>
            <w:vAlign w:val="bottom"/>
          </w:tcPr>
          <w:p>
            <w:pPr>
              <w:ind w:left="100"/>
              <w:spacing w:after="0"/>
              <w:rPr>
                <w:sz w:val="20"/>
                <w:szCs w:val="20"/>
                <w:color w:val="auto"/>
              </w:rPr>
            </w:pPr>
            <w:r>
              <w:rPr>
                <w:rFonts w:ascii="Arial" w:cs="Arial" w:eastAsia="Arial" w:hAnsi="Arial"/>
                <w:sz w:val="18"/>
                <w:szCs w:val="18"/>
                <w:color w:val="auto"/>
              </w:rPr>
              <w:t>As provided in Annex B to this Confirmation.</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Hedging Party:</w:t>
            </w:r>
          </w:p>
        </w:tc>
        <w:tc>
          <w:tcPr>
            <w:tcW w:w="5840" w:type="dxa"/>
            <w:vAlign w:val="bottom"/>
          </w:tcPr>
          <w:p>
            <w:pPr>
              <w:ind w:left="100"/>
              <w:spacing w:after="0"/>
              <w:rPr>
                <w:sz w:val="20"/>
                <w:szCs w:val="20"/>
                <w:color w:val="auto"/>
              </w:rPr>
            </w:pPr>
            <w:r>
              <w:rPr>
                <w:rFonts w:ascii="Arial" w:cs="Arial" w:eastAsia="Arial" w:hAnsi="Arial"/>
                <w:sz w:val="18"/>
                <w:szCs w:val="18"/>
                <w:color w:val="auto"/>
                <w:w w:val="91"/>
              </w:rPr>
              <w:t>For all applicable Potential Adjustment Events and Extraordinary Events, BofA</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Determining Party:</w:t>
            </w:r>
          </w:p>
        </w:tc>
        <w:tc>
          <w:tcPr>
            <w:tcW w:w="5840" w:type="dxa"/>
            <w:vAlign w:val="bottom"/>
          </w:tcPr>
          <w:p>
            <w:pPr>
              <w:ind w:left="100"/>
              <w:spacing w:after="0"/>
              <w:rPr>
                <w:sz w:val="20"/>
                <w:szCs w:val="20"/>
                <w:color w:val="auto"/>
              </w:rPr>
            </w:pPr>
            <w:r>
              <w:rPr>
                <w:rFonts w:ascii="Arial" w:cs="Arial" w:eastAsia="Arial" w:hAnsi="Arial"/>
                <w:sz w:val="18"/>
                <w:szCs w:val="18"/>
                <w:color w:val="auto"/>
              </w:rPr>
              <w:t>For all Extraordinary Events, BofA</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Non-Reliance:</w:t>
            </w:r>
          </w:p>
        </w:tc>
        <w:tc>
          <w:tcPr>
            <w:tcW w:w="584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10"/>
        </w:trPr>
        <w:tc>
          <w:tcPr>
            <w:tcW w:w="32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w w:val="93"/>
              </w:rPr>
              <w:t>Agreements and Acknowledgments</w:t>
            </w:r>
          </w:p>
        </w:tc>
        <w:tc>
          <w:tcPr>
            <w:tcW w:w="584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Regarding Hedging Activities:</w:t>
            </w:r>
          </w:p>
        </w:tc>
        <w:tc>
          <w:tcPr>
            <w:tcW w:w="584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Additional Acknowledgments:</w:t>
            </w:r>
          </w:p>
        </w:tc>
        <w:tc>
          <w:tcPr>
            <w:tcW w:w="5840" w:type="dxa"/>
            <w:vAlign w:val="bottom"/>
          </w:tcPr>
          <w:p>
            <w:pPr>
              <w:ind w:left="100"/>
              <w:spacing w:after="0"/>
              <w:rPr>
                <w:sz w:val="20"/>
                <w:szCs w:val="20"/>
                <w:color w:val="auto"/>
              </w:rPr>
            </w:pPr>
            <w:r>
              <w:rPr>
                <w:rFonts w:ascii="Arial" w:cs="Arial" w:eastAsia="Arial" w:hAnsi="Arial"/>
                <w:sz w:val="18"/>
                <w:szCs w:val="18"/>
                <w:color w:val="auto"/>
              </w:rPr>
              <w:t>Applicable</w:t>
            </w:r>
          </w:p>
        </w:tc>
      </w:tr>
      <w:tr>
        <w:trPr>
          <w:trHeight w:val="284"/>
        </w:trPr>
        <w:tc>
          <w:tcPr>
            <w:tcW w:w="3320" w:type="dxa"/>
            <w:vAlign w:val="bottom"/>
            <w:gridSpan w:val="3"/>
          </w:tcPr>
          <w:p>
            <w:pPr>
              <w:spacing w:after="0"/>
              <w:rPr>
                <w:sz w:val="20"/>
                <w:szCs w:val="20"/>
                <w:color w:val="auto"/>
              </w:rPr>
            </w:pPr>
            <w:r>
              <w:rPr>
                <w:rFonts w:ascii="Arial" w:cs="Arial" w:eastAsia="Arial" w:hAnsi="Arial"/>
                <w:sz w:val="18"/>
                <w:szCs w:val="18"/>
                <w:color w:val="auto"/>
              </w:rPr>
              <w:t>3.  Account Details:</w:t>
            </w:r>
          </w:p>
        </w:tc>
        <w:tc>
          <w:tcPr>
            <w:tcW w:w="584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330"/>
        </w:trPr>
        <w:tc>
          <w:tcPr>
            <w:tcW w:w="32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rPr>
              <w:t>(a) Account for payments to</w:t>
            </w:r>
          </w:p>
        </w:tc>
        <w:tc>
          <w:tcPr>
            <w:tcW w:w="584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3000" w:type="dxa"/>
            <w:vAlign w:val="bottom"/>
            <w:gridSpan w:val="2"/>
          </w:tcPr>
          <w:p>
            <w:pPr>
              <w:ind w:left="340"/>
              <w:spacing w:after="0"/>
              <w:rPr>
                <w:sz w:val="20"/>
                <w:szCs w:val="20"/>
                <w:color w:val="auto"/>
              </w:rPr>
            </w:pPr>
            <w:r>
              <w:rPr>
                <w:rFonts w:ascii="Arial" w:cs="Arial" w:eastAsia="Arial" w:hAnsi="Arial"/>
                <w:sz w:val="18"/>
                <w:szCs w:val="18"/>
                <w:color w:val="auto"/>
              </w:rPr>
              <w:t>Counterparty:</w:t>
            </w:r>
          </w:p>
        </w:tc>
        <w:tc>
          <w:tcPr>
            <w:tcW w:w="5840" w:type="dxa"/>
            <w:vAlign w:val="bottom"/>
          </w:tcPr>
          <w:p>
            <w:pPr>
              <w:ind w:left="100"/>
              <w:spacing w:after="0"/>
              <w:rPr>
                <w:sz w:val="20"/>
                <w:szCs w:val="20"/>
                <w:color w:val="auto"/>
              </w:rPr>
            </w:pPr>
            <w:r>
              <w:rPr>
                <w:rFonts w:ascii="Arial" w:cs="Arial" w:eastAsia="Arial" w:hAnsi="Arial"/>
                <w:sz w:val="18"/>
                <w:szCs w:val="18"/>
                <w:color w:val="auto"/>
              </w:rPr>
              <w:t>To be provided separately upon request</w:t>
            </w:r>
          </w:p>
        </w:tc>
      </w:tr>
      <w:tr>
        <w:trPr>
          <w:trHeight w:val="324"/>
        </w:trPr>
        <w:tc>
          <w:tcPr>
            <w:tcW w:w="320" w:type="dxa"/>
            <w:vAlign w:val="bottom"/>
          </w:tcPr>
          <w:p>
            <w:pPr>
              <w:spacing w:after="0"/>
              <w:rPr>
                <w:sz w:val="24"/>
                <w:szCs w:val="24"/>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color w:val="auto"/>
                <w:w w:val="98"/>
              </w:rPr>
              <w:t>(b) Account for payments to BofA:</w:t>
            </w:r>
          </w:p>
        </w:tc>
        <w:tc>
          <w:tcPr>
            <w:tcW w:w="5840" w:type="dxa"/>
            <w:vAlign w:val="bottom"/>
          </w:tcPr>
          <w:p>
            <w:pPr>
              <w:spacing w:after="0"/>
              <w:rPr>
                <w:sz w:val="24"/>
                <w:szCs w:val="24"/>
                <w:color w:val="auto"/>
              </w:rPr>
            </w:pPr>
          </w:p>
        </w:tc>
      </w:tr>
    </w:tbl>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SWIFT: BOFAUS3N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Routing: 026-009-593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Name: Bank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No.: 0012334-61892</w:t>
      </w:r>
    </w:p>
    <w:p>
      <w:pPr>
        <w:spacing w:after="0" w:line="103"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hanging="237"/>
        <w:spacing w:after="0"/>
        <w:tabs>
          <w:tab w:leader="none" w:pos="8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Office of Counterparty for the Transaction is: Counterparty is not a Multibranch Party</w:t>
      </w:r>
    </w:p>
    <w:p>
      <w:pPr>
        <w:spacing w:after="0" w:line="117" w:lineRule="exact"/>
        <w:rPr>
          <w:rFonts w:ascii="Arial" w:cs="Arial" w:eastAsia="Arial" w:hAnsi="Arial"/>
          <w:sz w:val="18"/>
          <w:szCs w:val="18"/>
          <w:color w:val="auto"/>
        </w:rPr>
      </w:pPr>
    </w:p>
    <w:p>
      <w:pPr>
        <w:ind w:left="900" w:hanging="257"/>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Office of BofA for the Transaction is: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Merrill Lynch, Pierce, Fenner &amp; Smith Incorporated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Tower at One Bryant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319"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117" w:lineRule="exact"/>
        <w:rPr>
          <w:rFonts w:ascii="Arial" w:cs="Arial" w:eastAsia="Arial" w:hAnsi="Arial"/>
          <w:sz w:val="18"/>
          <w:szCs w:val="18"/>
          <w:color w:val="auto"/>
        </w:rPr>
      </w:pPr>
    </w:p>
    <w:p>
      <w:pPr>
        <w:ind w:left="880" w:hanging="237"/>
        <w:spacing w:after="0"/>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Qorvo,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7628 Thorndike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Greensboro, NC 27409</w:t>
      </w:r>
    </w:p>
    <w:p>
      <w:pPr>
        <w:spacing w:after="0" w:line="9"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Robert G. Clancy</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Telephone:</w:t>
        <w:tab/>
        <w:t>336-678-8106</w:t>
      </w:r>
    </w:p>
    <w:p>
      <w:pPr>
        <w:spacing w:after="0" w:line="9"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Facsimile:</w:t>
        <w:tab/>
        <w:t>336-678-0427</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Address for notices or communications to BofA:</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Merrill Lynch, Pierce, Fenner &amp; Smith Incorporated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Tower at One Bryant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Peter Tucker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646-855-5821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646-822-5633</w:t>
      </w:r>
    </w:p>
    <w:p>
      <w:pPr>
        <w:spacing w:after="0" w:line="9"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Transactions in the Shares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firstLine="656"/>
        <w:spacing w:after="0" w:line="264" w:lineRule="auto"/>
        <w:tabs>
          <w:tab w:leader="none" w:pos="10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Counterparty acknowledges and agrees that the Initial Shares delivered on the Initial Share Delivery Date and the Minimum Shares delivered on the Minimum Share Delivery Date may be sold short to Counterparty. Counterparty further acknowledges and agrees that BofA may, during (i) the period from the date hereof to the</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368"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color w:val="auto"/>
        </w:rPr>
        <w:t>Valuation Date or, if later, the Scheduled Earliest Acceleration Date without regard to any adjustment thereof pursuant to “Special Provisions regarding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Transaction Announcements” below, and (ii) the period from and including the first Settlement Valuation Date to and including the last Settlement 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if any (together, the “</w:t>
      </w:r>
      <w:r>
        <w:rPr>
          <w:rFonts w:ascii="Arial" w:cs="Arial" w:eastAsia="Arial" w:hAnsi="Arial"/>
          <w:sz w:val="16"/>
          <w:szCs w:val="16"/>
          <w:b w:val="1"/>
          <w:bCs w:val="1"/>
          <w:color w:val="auto"/>
        </w:rPr>
        <w:t>Relevant Period</w:t>
      </w:r>
      <w:r>
        <w:rPr>
          <w:rFonts w:ascii="Arial" w:cs="Arial" w:eastAsia="Arial" w:hAnsi="Arial"/>
          <w:sz w:val="16"/>
          <w:szCs w:val="16"/>
          <w:color w:val="auto"/>
        </w:rPr>
        <w:t>”), purchase Shares in connection with the Transaction, which Shares may be used to cover all or a portion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short sale or may be delivered to Counterparty. Such purchases will be conducted independently of Counterparty. The timing of such purchases by BofA,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purchased by BofA on any day, the price paid per Share pursuant to such purchases and the manner in which such purchases are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without limitation whether such purchases are made on any securities exchange or privately, shall be within the absolute discretion of BofA. It is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intent of the parties that the Transaction comply with the requirements of Rule 10b5-1(c)(1)(i)(B) of the Securities Exchange Act of 1934,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and the parties agree that this Confirmation shall be interpreted to comply with the requirements of Rule 10b5-1(c), and Counterparty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take any action that results in the Transaction not so complying with such requirements. Without limiting the generality of the preceding sentence,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Counterparty acknowledges and agrees that (A) Counterparty does not have, and shall not attempt to exercise, any influence over how, when or whether BofA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effects any purchases of Shares in connection with the Transaction, (B) during the period beginning on (but excluding) the date of this Confirmation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ending on (and including) the last day of the Relevant Period, neither Counterparty nor its officers or employees shall, directly or indirectly, communicate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Counterparty or the Shares to any employee of BofA or its Affiliates responsible for trading the Shares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contemplated hereby, (C) Counterparty is entering into the Transaction in good faith and not as part of a plan or scheme to evade compliance with</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federal securities laws including, without limitation, Rule 10b</w:t>
      </w:r>
      <w:r>
        <w:rPr>
          <w:rFonts w:ascii="MS PGothic" w:cs="MS PGothic" w:eastAsia="MS PGothic" w:hAnsi="MS PGothic"/>
          <w:sz w:val="16"/>
          <w:szCs w:val="16"/>
          <w:color w:val="auto"/>
        </w:rPr>
        <w:t>‑</w:t>
      </w:r>
      <w:r>
        <w:rPr>
          <w:rFonts w:ascii="Arial" w:cs="Arial" w:eastAsia="Arial" w:hAnsi="Arial"/>
          <w:sz w:val="16"/>
          <w:szCs w:val="16"/>
          <w:color w:val="auto"/>
        </w:rPr>
        <w:t>5 promulgated under the Exchange Act and (D) Counterparty will not alter or deviate from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Confirmation or enter into or alter a corresponding hedging transaction with respect to the Shares. Counterparty also acknowledges and agrees that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modification, waiver or termination of this Confirmation must be effected in accordance with the requirements for the amendment or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“plan” as defined in Rule 10b5-1(c) under the Exchange Act. Without limiting the generality of the foregoing, any such amendment, modification, waiver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termination shall be made in good faith and not as part of a plan or scheme to evade the prohibitions of Rule 10b-5 under the Exchange Act, and no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amendment, modification or waiver shall be made at any time at which Counterparty or any officer or director of Counterparty is aware of any material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nonpublic information regarding Counterparty or the Shares.</w:t>
      </w:r>
    </w:p>
    <w:p>
      <w:pPr>
        <w:spacing w:after="0" w:line="211" w:lineRule="exact"/>
        <w:rPr>
          <w:sz w:val="20"/>
          <w:szCs w:val="20"/>
          <w:color w:val="auto"/>
        </w:rPr>
      </w:pPr>
    </w:p>
    <w:p>
      <w:pPr>
        <w:ind w:firstLine="656"/>
        <w:spacing w:after="0" w:line="264" w:lineRule="auto"/>
        <w:tabs>
          <w:tab w:leader="none" w:pos="10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Counterparty agrees that neither Counterparty nor any of its Affiliates or agents shall take any action that would cause Regulation M to be applicable to any purchases of Shares, or any security for which the Shares are a reference security (as defined in Regulation M), by Counterparty or any of its affiliated purchasers (as defined in Regulation M) during the Relevant Period.</w:t>
      </w:r>
    </w:p>
    <w:p>
      <w:pPr>
        <w:spacing w:after="0" w:line="181" w:lineRule="exact"/>
        <w:rPr>
          <w:rFonts w:ascii="Arial" w:cs="Arial" w:eastAsia="Arial" w:hAnsi="Arial"/>
          <w:sz w:val="18"/>
          <w:szCs w:val="18"/>
          <w:color w:val="auto"/>
        </w:rPr>
      </w:pPr>
    </w:p>
    <w:p>
      <w:pPr>
        <w:ind w:right="260" w:firstLine="656"/>
        <w:spacing w:after="0" w:line="279" w:lineRule="auto"/>
        <w:tabs>
          <w:tab w:leader="none" w:pos="1028"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Counterparty shall, at least one day prior to the first day of the Relevant Period, notify BofA of the total number of Shares purchased in Rule 10b-18 purchases of blocks pursuant to the once-a-week block exception contained in Rule 10b-18(b)(4) by or for Counterparty or any of its affiliated purchasers during each of the four calendar weeks preceding the first day of the Relevant Period and during the calendar week in which the first day of the Relevant Period occurs (“Rule 10b-18 purchase”, “blocks” and “affiliated purchaser” each being used as defined in Rule 10b-18).</w:t>
      </w:r>
    </w:p>
    <w:p>
      <w:pPr>
        <w:spacing w:after="0" w:line="171" w:lineRule="exact"/>
        <w:rPr>
          <w:rFonts w:ascii="Arial" w:cs="Arial" w:eastAsia="Arial" w:hAnsi="Arial"/>
          <w:sz w:val="17"/>
          <w:szCs w:val="17"/>
          <w:color w:val="auto"/>
        </w:rPr>
      </w:pPr>
    </w:p>
    <w:p>
      <w:pPr>
        <w:ind w:right="20" w:firstLine="656"/>
        <w:spacing w:after="0" w:line="287" w:lineRule="auto"/>
        <w:tabs>
          <w:tab w:leader="none" w:pos="1038" w:val="left"/>
        </w:tabs>
        <w:numPr>
          <w:ilvl w:val="0"/>
          <w:numId w:val="68"/>
        </w:numPr>
        <w:rPr>
          <w:rFonts w:ascii="Arial" w:cs="Arial" w:eastAsia="Arial" w:hAnsi="Arial"/>
          <w:sz w:val="16"/>
          <w:szCs w:val="16"/>
          <w:color w:val="auto"/>
        </w:rPr>
      </w:pPr>
      <w:r>
        <w:rPr>
          <w:rFonts w:ascii="Arial" w:cs="Arial" w:eastAsia="Arial" w:hAnsi="Arial"/>
          <w:sz w:val="16"/>
          <w:szCs w:val="16"/>
          <w:color w:val="auto"/>
        </w:rPr>
        <w:t>During the Relevant Period, Counterparty shall (i) notify BofA prior to the opening of trading in the Shares on any day on which Counterparty makes, or expects to be made, any public announcement (as defined in Rule 165(f)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any merger, acquisition, or similar transaction involving a recapitalization relating to Counterparty (other than any such transaction in which the consideration consists solely of cash and there is no valuation period), (ii) promptly notify BofA following any such announcement that such announcement has been made, and (iii) promptly deliver to BofA following the making of any such announcement a certificate indicating (A) Counterparty’s average daily Rule 10b-18 purchases (as defined in Rule 10b-18) during the three full calendar months preceding the date of the announcement of such transaction and (B) Counterparty’s block purchases (as defined in Rule 10b-18) effected pursuant to paragraph (b)(4) of Rule 10b-18 during the three full calendar months preceding the date of the announcement of such transaction. In addition, Counterparty shall promptly notify BofA of the earlier to occur of the completion of such transaction and the completion of the vote by target shareholders. Counterparty acknowledges that any such public announcement may result in a Regulatory Disruption and may cause the Relevant Period to be suspended. Accordingly, Counterparty acknowledges that its actions in relation to any such announcement or transaction must comply with the standards set forth in Section 6(a) above.</w:t>
      </w:r>
    </w:p>
    <w:p>
      <w:pPr>
        <w:spacing w:after="0" w:line="172" w:lineRule="exact"/>
        <w:rPr>
          <w:rFonts w:ascii="Arial" w:cs="Arial" w:eastAsia="Arial" w:hAnsi="Arial"/>
          <w:sz w:val="16"/>
          <w:szCs w:val="16"/>
          <w:color w:val="auto"/>
        </w:rPr>
      </w:pPr>
    </w:p>
    <w:p>
      <w:pPr>
        <w:ind w:right="320" w:firstLine="656"/>
        <w:spacing w:after="0" w:line="277" w:lineRule="auto"/>
        <w:tabs>
          <w:tab w:leader="none" w:pos="10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the prior written consent of BofA, Counterparty shall not, and shall cause its Affiliates and affiliated purchasers (each as defined in Rule 10b-18) not to, directly or indirectly (including, without limitation, by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38" w:name="page139"/>
    <w:bookmarkEnd w:id="138"/>
    <w:p>
      <w:pPr>
        <w:jc w:val="both"/>
        <w:ind w:right="80"/>
        <w:spacing w:after="0" w:line="264" w:lineRule="auto"/>
        <w:rPr>
          <w:sz w:val="20"/>
          <w:szCs w:val="20"/>
          <w:color w:val="auto"/>
        </w:rPr>
      </w:pPr>
      <w:r>
        <w:rPr>
          <w:rFonts w:ascii="Arial" w:cs="Arial" w:eastAsia="Arial" w:hAnsi="Arial"/>
          <w:sz w:val="18"/>
          <w:szCs w:val="18"/>
          <w:color w:val="auto"/>
        </w:rPr>
        <w:t>means of a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for Shares during the Relevant Period.</w:t>
      </w:r>
    </w:p>
    <w:p>
      <w:pPr>
        <w:spacing w:after="0" w:line="181"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656"/>
        <w:spacing w:after="0" w:line="277" w:lineRule="auto"/>
        <w:tabs>
          <w:tab w:leader="none" w:pos="1028"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BofA as follows:</w:t>
      </w:r>
    </w:p>
    <w:p>
      <w:pPr>
        <w:spacing w:after="0" w:line="170" w:lineRule="exact"/>
        <w:rPr>
          <w:rFonts w:ascii="Arial" w:cs="Arial" w:eastAsia="Arial" w:hAnsi="Arial"/>
          <w:sz w:val="18"/>
          <w:szCs w:val="18"/>
          <w:color w:val="auto"/>
        </w:rPr>
      </w:pPr>
    </w:p>
    <w:p>
      <w:pPr>
        <w:ind w:left="660" w:firstLine="645"/>
        <w:spacing w:after="0" w:line="293" w:lineRule="auto"/>
        <w:tabs>
          <w:tab w:leader="none" w:pos="1648" w:val="left"/>
        </w:tabs>
        <w:numPr>
          <w:ilvl w:val="2"/>
          <w:numId w:val="69"/>
        </w:numPr>
        <w:rPr>
          <w:rFonts w:ascii="Arial" w:cs="Arial" w:eastAsia="Arial" w:hAnsi="Arial"/>
          <w:sz w:val="16"/>
          <w:szCs w:val="16"/>
          <w:color w:val="auto"/>
        </w:rPr>
      </w:pPr>
      <w:r>
        <w:rPr>
          <w:rFonts w:ascii="Arial" w:cs="Arial" w:eastAsia="Arial" w:hAnsi="Arial"/>
          <w:sz w:val="16"/>
          <w:szCs w:val="16"/>
          <w:color w:val="auto"/>
        </w:rPr>
        <w:t>As of the Trade Date, and as of the date of any election by Counterparty of the Share Termination Alternative under (and as defined in) Section 10(a) below,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64" w:lineRule="exact"/>
        <w:rPr>
          <w:rFonts w:ascii="Arial" w:cs="Arial" w:eastAsia="Arial" w:hAnsi="Arial"/>
          <w:sz w:val="16"/>
          <w:szCs w:val="16"/>
          <w:color w:val="auto"/>
        </w:rPr>
      </w:pPr>
    </w:p>
    <w:p>
      <w:pPr>
        <w:ind w:left="660" w:right="200" w:firstLine="645"/>
        <w:spacing w:after="0" w:line="257" w:lineRule="auto"/>
        <w:tabs>
          <w:tab w:leader="none" w:pos="1750"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BofA is not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ASC Topic 480, </w:t>
      </w:r>
      <w:r>
        <w:rPr>
          <w:rFonts w:ascii="Arial" w:cs="Arial" w:eastAsia="Arial" w:hAnsi="Arial"/>
          <w:sz w:val="18"/>
          <w:szCs w:val="18"/>
          <w:i w:val="1"/>
          <w:iCs w:val="1"/>
          <w:color w:val="auto"/>
        </w:rPr>
        <w:t>Distinguishing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Equity </w:t>
      </w:r>
      <w:r>
        <w:rPr>
          <w:rFonts w:ascii="Arial" w:cs="Arial" w:eastAsia="Arial" w:hAnsi="Arial"/>
          <w:sz w:val="18"/>
          <w:szCs w:val="18"/>
          <w:color w:val="auto"/>
        </w:rPr>
        <w:t>and ASC 815-40,</w:t>
      </w:r>
      <w:r>
        <w:rPr>
          <w:rFonts w:ascii="Arial" w:cs="Arial" w:eastAsia="Arial" w:hAnsi="Arial"/>
          <w:sz w:val="18"/>
          <w:szCs w:val="18"/>
          <w:i w:val="1"/>
          <w:iCs w:val="1"/>
          <w:color w:val="auto"/>
        </w:rPr>
        <w:t xml:space="preserve"> Derivatives and Hedging – Contracts in Entity’s Own Equity </w:t>
      </w:r>
      <w:r>
        <w:rPr>
          <w:rFonts w:ascii="Arial" w:cs="Arial" w:eastAsia="Arial" w:hAnsi="Arial"/>
          <w:sz w:val="18"/>
          <w:szCs w:val="18"/>
          <w:color w:val="auto"/>
        </w:rPr>
        <w:t>(or any successor issue statements) or under FASB’s</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&amp; Equity Project.</w:t>
      </w:r>
    </w:p>
    <w:p>
      <w:pPr>
        <w:spacing w:after="0" w:line="188" w:lineRule="exact"/>
        <w:rPr>
          <w:rFonts w:ascii="Arial" w:cs="Arial" w:eastAsia="Arial" w:hAnsi="Arial"/>
          <w:sz w:val="18"/>
          <w:szCs w:val="18"/>
          <w:color w:val="auto"/>
        </w:rPr>
      </w:pPr>
    </w:p>
    <w:p>
      <w:pPr>
        <w:ind w:left="660" w:right="40" w:firstLine="645"/>
        <w:spacing w:after="0" w:line="277" w:lineRule="auto"/>
        <w:tabs>
          <w:tab w:leader="none" w:pos="1755" w:val="left"/>
        </w:tabs>
        <w:numPr>
          <w:ilvl w:val="2"/>
          <w:numId w:val="69"/>
        </w:numPr>
        <w:rPr>
          <w:rFonts w:ascii="Arial" w:cs="Arial" w:eastAsia="Arial" w:hAnsi="Arial"/>
          <w:sz w:val="18"/>
          <w:szCs w:val="18"/>
          <w:color w:val="auto"/>
        </w:rPr>
      </w:pPr>
      <w:r>
        <w:rPr>
          <w:rFonts w:ascii="Arial" w:cs="Arial" w:eastAsia="Arial" w:hAnsi="Arial"/>
          <w:sz w:val="18"/>
          <w:szCs w:val="18"/>
          <w:color w:val="auto"/>
        </w:rPr>
        <w:t>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748" w:val="left"/>
        </w:tabs>
        <w:numPr>
          <w:ilvl w:val="2"/>
          <w:numId w:val="69"/>
        </w:numPr>
        <w:rPr>
          <w:rFonts w:ascii="Arial" w:cs="Arial" w:eastAsia="Arial" w:hAnsi="Arial"/>
          <w:sz w:val="18"/>
          <w:szCs w:val="18"/>
          <w:color w:val="auto"/>
        </w:rPr>
      </w:pPr>
      <w:r>
        <w:rPr>
          <w:rFonts w:ascii="Arial" w:cs="Arial" w:eastAsia="Arial" w:hAnsi="Arial"/>
          <w:sz w:val="18"/>
          <w:szCs w:val="18"/>
          <w:color w:val="auto"/>
        </w:rPr>
        <w:t>Prior to the Trade Date, Counterparty shall deliver to BofA a resolution of Counterparty’s board of directors authorizing the Transaction and such other certificate or certificates as BofA shall reasonably request. Counterparty has publicly disclosed its intention to institute a program for the acquisition of Shares.</w:t>
      </w:r>
    </w:p>
    <w:p>
      <w:pPr>
        <w:spacing w:after="0" w:line="181" w:lineRule="exact"/>
        <w:rPr>
          <w:rFonts w:ascii="Arial" w:cs="Arial" w:eastAsia="Arial" w:hAnsi="Arial"/>
          <w:sz w:val="18"/>
          <w:szCs w:val="18"/>
          <w:color w:val="auto"/>
        </w:rPr>
      </w:pPr>
    </w:p>
    <w:p>
      <w:pPr>
        <w:ind w:left="660" w:firstLine="645"/>
        <w:spacing w:after="0" w:line="259" w:lineRule="auto"/>
        <w:tabs>
          <w:tab w:leader="none" w:pos="1698" w:val="left"/>
        </w:tabs>
        <w:numPr>
          <w:ilvl w:val="2"/>
          <w:numId w:val="69"/>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 will not engage in any other securities or derivative transaction to such ends.</w:t>
      </w:r>
    </w:p>
    <w:p>
      <w:pPr>
        <w:spacing w:after="0" w:line="186" w:lineRule="exact"/>
        <w:rPr>
          <w:rFonts w:ascii="Arial" w:cs="Arial" w:eastAsia="Arial" w:hAnsi="Arial"/>
          <w:sz w:val="18"/>
          <w:szCs w:val="18"/>
          <w:color w:val="auto"/>
        </w:rPr>
      </w:pPr>
    </w:p>
    <w:p>
      <w:pPr>
        <w:ind w:left="660" w:right="60" w:firstLine="645"/>
        <w:spacing w:after="0" w:line="277" w:lineRule="auto"/>
        <w:tabs>
          <w:tab w:leader="none" w:pos="1748" w:val="left"/>
        </w:tabs>
        <w:numPr>
          <w:ilvl w:val="2"/>
          <w:numId w:val="69"/>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660" w:right="60" w:firstLine="645"/>
        <w:spacing w:after="0" w:line="259" w:lineRule="auto"/>
        <w:tabs>
          <w:tab w:leader="none" w:pos="1798" w:val="left"/>
        </w:tabs>
        <w:numPr>
          <w:ilvl w:val="2"/>
          <w:numId w:val="69"/>
        </w:numPr>
        <w:rPr>
          <w:rFonts w:ascii="Arial" w:cs="Arial" w:eastAsia="Arial" w:hAnsi="Arial"/>
          <w:sz w:val="18"/>
          <w:szCs w:val="18"/>
          <w:color w:val="auto"/>
        </w:rPr>
      </w:pPr>
      <w:r>
        <w:rPr>
          <w:rFonts w:ascii="Arial" w:cs="Arial" w:eastAsia="Arial" w:hAnsi="Arial"/>
          <w:sz w:val="18"/>
          <w:szCs w:val="18"/>
          <w:color w:val="auto"/>
        </w:rPr>
        <w:t>On the Trade Date, the Prepayment Date, the Initial Share Delivery Date, the Minimum Share Delivery Date and the Settlement Date, Counterparty is not, or will not be, “insolvent” (as such term is defined under Section 101(32) of the U.S.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Counterparty would be able to purchase the Shares hereunder in compliance with the corporate laws of the jurisdiction of its incorporation.</w:t>
      </w:r>
    </w:p>
    <w:p>
      <w:pPr>
        <w:spacing w:after="0" w:line="186" w:lineRule="exact"/>
        <w:rPr>
          <w:rFonts w:ascii="Arial" w:cs="Arial" w:eastAsia="Arial" w:hAnsi="Arial"/>
          <w:sz w:val="18"/>
          <w:szCs w:val="18"/>
          <w:color w:val="auto"/>
        </w:rPr>
      </w:pPr>
    </w:p>
    <w:p>
      <w:pPr>
        <w:ind w:left="660" w:right="80" w:firstLine="645"/>
        <w:spacing w:after="0" w:line="264" w:lineRule="auto"/>
        <w:tabs>
          <w:tab w:leader="none" w:pos="1848" w:val="left"/>
        </w:tabs>
        <w:numPr>
          <w:ilvl w:val="2"/>
          <w:numId w:val="69"/>
        </w:numPr>
        <w:rPr>
          <w:rFonts w:ascii="Arial" w:cs="Arial" w:eastAsia="Arial" w:hAnsi="Arial"/>
          <w:sz w:val="18"/>
          <w:szCs w:val="18"/>
          <w:color w:val="auto"/>
        </w:rPr>
      </w:pPr>
      <w:r>
        <w:rPr>
          <w:rFonts w:ascii="Arial" w:cs="Arial" w:eastAsia="Arial" w:hAnsi="Arial"/>
          <w:sz w:val="18"/>
          <w:szCs w:val="18"/>
          <w:color w:val="auto"/>
        </w:rPr>
        <w:t>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BofA or its affiliates owning or holding (however defined) Shares.</w:t>
      </w:r>
    </w:p>
    <w:p>
      <w:pPr>
        <w:spacing w:after="0" w:line="181" w:lineRule="exact"/>
        <w:rPr>
          <w:rFonts w:ascii="Arial" w:cs="Arial" w:eastAsia="Arial" w:hAnsi="Arial"/>
          <w:sz w:val="18"/>
          <w:szCs w:val="18"/>
          <w:color w:val="auto"/>
        </w:rPr>
      </w:pPr>
    </w:p>
    <w:p>
      <w:pPr>
        <w:ind w:left="660" w:right="480" w:firstLine="645"/>
        <w:spacing w:after="0" w:line="277" w:lineRule="auto"/>
        <w:tabs>
          <w:tab w:leader="none" w:pos="1748" w:val="left"/>
        </w:tabs>
        <w:numPr>
          <w:ilvl w:val="2"/>
          <w:numId w:val="69"/>
        </w:numPr>
        <w:rPr>
          <w:rFonts w:ascii="Arial" w:cs="Arial" w:eastAsia="Arial" w:hAnsi="Arial"/>
          <w:sz w:val="18"/>
          <w:szCs w:val="18"/>
          <w:color w:val="auto"/>
        </w:rPr>
      </w:pPr>
      <w:r>
        <w:rPr>
          <w:rFonts w:ascii="Arial" w:cs="Arial" w:eastAsia="Arial" w:hAnsi="Arial"/>
          <w:sz w:val="18"/>
          <w:szCs w:val="18"/>
          <w:color w:val="auto"/>
        </w:rPr>
        <w:t>Counterparty shall not declare or pay any Dividend (as defined above) to holders of record as of any date occurring prior to the Settlement Date or, if the provisions of Annex A apply, the Cash Settlement Payment Date.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68" w:right="279" w:bottom="1440" w:gutter="0" w:footer="0" w:header="0"/>
        </w:sectPr>
      </w:pPr>
    </w:p>
    <w:bookmarkStart w:id="139" w:name="page140"/>
    <w:bookmarkEnd w:id="139"/>
    <w:p>
      <w:pPr>
        <w:ind w:left="660" w:right="460" w:firstLine="645"/>
        <w:spacing w:after="0" w:line="277" w:lineRule="auto"/>
        <w:tabs>
          <w:tab w:leader="none" w:pos="1698" w:val="left"/>
        </w:tabs>
        <w:numPr>
          <w:ilvl w:val="2"/>
          <w:numId w:val="70"/>
        </w:numPr>
        <w:rPr>
          <w:rFonts w:ascii="Arial" w:cs="Arial" w:eastAsia="Arial" w:hAnsi="Arial"/>
          <w:sz w:val="18"/>
          <w:szCs w:val="18"/>
          <w:color w:val="auto"/>
        </w:rPr>
      </w:pPr>
      <w:r>
        <w:rPr>
          <w:rFonts w:ascii="Arial" w:cs="Arial" w:eastAsia="Arial" w:hAnsi="Arial"/>
          <w:sz w:val="18"/>
          <w:szCs w:val="18"/>
          <w:color w:val="auto"/>
        </w:rPr>
        <w:t>Counterparty understands no obligations of BofA to it hereunder will be entitled to the benefit of deposit insurance and that such obligations will not be guaranteed by any affiliate of BofA or any governmental agency.</w:t>
      </w:r>
    </w:p>
    <w:p>
      <w:pPr>
        <w:spacing w:after="0" w:line="170" w:lineRule="exact"/>
        <w:rPr>
          <w:rFonts w:ascii="Arial" w:cs="Arial" w:eastAsia="Arial" w:hAnsi="Arial"/>
          <w:sz w:val="18"/>
          <w:szCs w:val="18"/>
          <w:color w:val="auto"/>
        </w:rPr>
      </w:pPr>
    </w:p>
    <w:p>
      <w:pPr>
        <w:ind w:left="660" w:right="280" w:firstLine="645"/>
        <w:spacing w:after="0" w:line="342" w:lineRule="auto"/>
        <w:tabs>
          <w:tab w:leader="none" w:pos="1748" w:val="left"/>
        </w:tabs>
        <w:numPr>
          <w:ilvl w:val="2"/>
          <w:numId w:val="70"/>
        </w:numPr>
        <w:rPr>
          <w:rFonts w:ascii="Arial" w:cs="Arial" w:eastAsia="Arial" w:hAnsi="Arial"/>
          <w:sz w:val="16"/>
          <w:szCs w:val="16"/>
          <w:color w:val="auto"/>
        </w:rPr>
      </w:pPr>
      <w:r>
        <w:rPr>
          <w:rFonts w:ascii="Arial" w:cs="Arial" w:eastAsia="Arial" w:hAnsi="Arial"/>
          <w:sz w:val="16"/>
          <w:szCs w:val="16"/>
          <w:color w:val="auto"/>
        </w:rPr>
        <w:t>Counterparty is (i) a corporation for U.S. federal income tax purposes and is organized under the laws of Delaware and (ii) a “U.S. person” (as that term is used in section 1.1441-4(a)(3)(ii) of United States Treasury Regulations) for U.S. federal income tax purposes.</w:t>
      </w:r>
    </w:p>
    <w:p>
      <w:pPr>
        <w:spacing w:after="0" w:line="123" w:lineRule="exact"/>
        <w:rPr>
          <w:rFonts w:ascii="Arial" w:cs="Arial" w:eastAsia="Arial" w:hAnsi="Arial"/>
          <w:sz w:val="16"/>
          <w:szCs w:val="16"/>
          <w:color w:val="auto"/>
        </w:rPr>
      </w:pPr>
    </w:p>
    <w:p>
      <w:pPr>
        <w:ind w:right="580" w:firstLine="656"/>
        <w:spacing w:after="0" w:line="277" w:lineRule="auto"/>
        <w:tabs>
          <w:tab w:leader="none" w:pos="103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of BofA and Counterparty agrees and represents that it is an “eligible contract participant” as defined in Section 1a(18) of the U.S. Commodity Exchange Act, as amended.</w:t>
      </w:r>
    </w:p>
    <w:p>
      <w:pPr>
        <w:spacing w:after="0" w:line="170" w:lineRule="exact"/>
        <w:rPr>
          <w:rFonts w:ascii="Arial" w:cs="Arial" w:eastAsia="Arial" w:hAnsi="Arial"/>
          <w:sz w:val="18"/>
          <w:szCs w:val="18"/>
          <w:color w:val="auto"/>
        </w:rPr>
      </w:pPr>
    </w:p>
    <w:p>
      <w:pPr>
        <w:ind w:right="20" w:firstLine="656"/>
        <w:spacing w:after="0" w:line="286" w:lineRule="auto"/>
        <w:tabs>
          <w:tab w:leader="none" w:pos="1028" w:val="left"/>
        </w:tabs>
        <w:numPr>
          <w:ilvl w:val="1"/>
          <w:numId w:val="71"/>
        </w:numPr>
        <w:rPr>
          <w:rFonts w:ascii="Arial" w:cs="Arial" w:eastAsia="Arial" w:hAnsi="Arial"/>
          <w:sz w:val="16"/>
          <w:szCs w:val="16"/>
          <w:color w:val="auto"/>
        </w:rPr>
      </w:pPr>
      <w:r>
        <w:rPr>
          <w:rFonts w:ascii="Arial" w:cs="Arial" w:eastAsia="Arial" w:hAnsi="Arial"/>
          <w:sz w:val="16"/>
          <w:szCs w:val="16"/>
          <w:color w:val="auto"/>
        </w:rPr>
        <w:t>Counterparty acknowledges that the offer and sale of the Transaction to it is intended to be exempt from registration under the Securities Act, by virtue of Section 4(2) thereof. Accordingly, Counterparty represents and warrants to BofA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and without a view to the distribution or resale thereof, and</w:t>
      </w:r>
    </w:p>
    <w:p>
      <w:pPr>
        <w:spacing w:after="0" w:line="1" w:lineRule="exact"/>
        <w:rPr>
          <w:rFonts w:ascii="Arial" w:cs="Arial" w:eastAsia="Arial" w:hAnsi="Arial"/>
          <w:sz w:val="16"/>
          <w:szCs w:val="16"/>
          <w:color w:val="auto"/>
        </w:rPr>
      </w:pPr>
    </w:p>
    <w:p>
      <w:pPr>
        <w:ind w:right="60" w:firstLine="8"/>
        <w:spacing w:after="0" w:line="261" w:lineRule="auto"/>
        <w:tabs>
          <w:tab w:leader="none" w:pos="3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assignment, transfer or other disposition of the Transaction has not been and will not be registered under the Securities Act and is restricted under this Confirmation, the Securities Act and state securities laws.</w:t>
      </w:r>
    </w:p>
    <w:p>
      <w:pPr>
        <w:spacing w:after="0" w:line="183" w:lineRule="exact"/>
        <w:rPr>
          <w:rFonts w:ascii="Arial" w:cs="Arial" w:eastAsia="Arial" w:hAnsi="Arial"/>
          <w:sz w:val="18"/>
          <w:szCs w:val="18"/>
          <w:color w:val="auto"/>
        </w:rPr>
      </w:pPr>
    </w:p>
    <w:p>
      <w:pPr>
        <w:jc w:val="both"/>
        <w:ind w:right="60" w:firstLine="656"/>
        <w:spacing w:after="0" w:line="291" w:lineRule="auto"/>
        <w:tabs>
          <w:tab w:leader="none" w:pos="1038"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Counterparty agrees and acknowledges that BofA is a “financial institution,” “swap participant” and “financial participant” within the meaning of Sections 101(22), 101(53C) and 101(22A) of the Bankruptcy Code. The parties hereto further agree and acknowledge that it is the intent of the parties that</w:t>
      </w: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(A)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other transfer of property” within the meaning of Sections 362 and 546 of the Bankruptcy Code, and (B) BofA is entitled to the protections afforded by, among other sections, Sections 362(b)(6), 362(b)(17), 362(o), 546(e), 546(g), 548(d)(2), 555, 560 and 561 of the Bankruptcy Code.</w:t>
      </w:r>
    </w:p>
    <w:p>
      <w:pPr>
        <w:spacing w:after="0" w:line="192" w:lineRule="exact"/>
        <w:rPr>
          <w:sz w:val="20"/>
          <w:szCs w:val="20"/>
          <w:color w:val="auto"/>
        </w:rPr>
      </w:pPr>
    </w:p>
    <w:p>
      <w:pPr>
        <w:ind w:left="660" w:right="6940" w:hanging="652"/>
        <w:spacing w:after="0" w:line="563" w:lineRule="auto"/>
        <w:tabs>
          <w:tab w:leader="none" w:pos="32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Agreements and Acknowledgements Regarding Hedging</w:t>
      </w:r>
      <w:r>
        <w:rPr>
          <w:rFonts w:ascii="Arial" w:cs="Arial" w:eastAsia="Arial" w:hAnsi="Arial"/>
          <w:sz w:val="16"/>
          <w:szCs w:val="16"/>
          <w:color w:val="auto"/>
        </w:rPr>
        <w:t>. Counterparty acknowledges and agrees that:</w:t>
      </w:r>
    </w:p>
    <w:p>
      <w:pPr>
        <w:spacing w:after="0" w:line="1" w:lineRule="exact"/>
        <w:rPr>
          <w:rFonts w:ascii="Arial" w:cs="Arial" w:eastAsia="Arial" w:hAnsi="Arial"/>
          <w:sz w:val="16"/>
          <w:szCs w:val="16"/>
          <w:color w:val="auto"/>
        </w:rPr>
      </w:pPr>
    </w:p>
    <w:p>
      <w:pPr>
        <w:ind w:firstLine="656"/>
        <w:spacing w:after="0" w:line="277" w:lineRule="auto"/>
        <w:tabs>
          <w:tab w:leader="none" w:pos="107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During the Relevant Period, BofA and its Affiliates may buy or sell Shares or other securities or buy or sell options or futures contracts or enter into swaps or other derivative securities in order to adjust its hedge position with respect to the Transaction;</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BofA and its Affiliates also may be active in the market for Shares other than in connection with hedging activities in relation to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Transaction;</w:t>
      </w:r>
    </w:p>
    <w:p>
      <w:pPr>
        <w:spacing w:after="0" w:line="210" w:lineRule="exact"/>
        <w:rPr>
          <w:rFonts w:ascii="Arial" w:cs="Arial" w:eastAsia="Arial" w:hAnsi="Arial"/>
          <w:sz w:val="18"/>
          <w:szCs w:val="18"/>
          <w:color w:val="auto"/>
        </w:rPr>
      </w:pPr>
    </w:p>
    <w:p>
      <w:pPr>
        <w:ind w:right="280" w:firstLine="656"/>
        <w:spacing w:after="0" w:line="264" w:lineRule="auto"/>
        <w:tabs>
          <w:tab w:leader="none" w:pos="1073" w:val="left"/>
        </w:tabs>
        <w:numPr>
          <w:ilvl w:val="1"/>
          <w:numId w:val="73"/>
        </w:numPr>
        <w:rPr>
          <w:rFonts w:ascii="Arial" w:cs="Arial" w:eastAsia="Arial" w:hAnsi="Arial"/>
          <w:sz w:val="18"/>
          <w:szCs w:val="18"/>
          <w:color w:val="auto"/>
        </w:rPr>
      </w:pPr>
      <w:r>
        <w:rPr>
          <w:rFonts w:ascii="Arial" w:cs="Arial" w:eastAsia="Arial" w:hAnsi="Arial"/>
          <w:sz w:val="18"/>
          <w:szCs w:val="18"/>
          <w:color w:val="auto"/>
        </w:rPr>
        <w:t>BofA shall make its own determination as to whether, when or in what manner any hedging or market activities in Counterparty’s securities shall be conducted and shall do so in a manner that it deems appropriate to hedge its price and market risk with respect to the Settlement Price and/or the VWAP Price; and</w:t>
      </w:r>
    </w:p>
    <w:p>
      <w:pPr>
        <w:spacing w:after="0" w:line="181" w:lineRule="exact"/>
        <w:rPr>
          <w:rFonts w:ascii="Arial" w:cs="Arial" w:eastAsia="Arial" w:hAnsi="Arial"/>
          <w:sz w:val="18"/>
          <w:szCs w:val="18"/>
          <w:color w:val="auto"/>
        </w:rPr>
      </w:pPr>
    </w:p>
    <w:p>
      <w:pPr>
        <w:ind w:right="480" w:firstLine="656"/>
        <w:spacing w:after="0" w:line="277" w:lineRule="auto"/>
        <w:tabs>
          <w:tab w:leader="none" w:pos="1073"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market activities of BofA and its Affiliates with respect to Shares may affect the market price and volatility of Shares, as well as the Settlement Price and/or the VWAP Price, each in a manner that may be adverse to Counterparty.</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Special Provisions regarding Transaction Announcements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312" w:lineRule="auto"/>
        <w:tabs>
          <w:tab w:leader="none" w:pos="1028"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a Transaction Announcement occurs on or prior to the Settlement Date, the Calculation Agent shall make such adjustment to the exercise, settlement, payment or any of the other terms of the Transaction (including without limitation, the Settlement Price and the Price Adjustment Amount) as the Calculation Agent determines in good faith appropriate to account for the economic effect of the Transaction Announcement (and, for the avoidance of doubt,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40" w:name="page141"/>
    <w:bookmarkEnd w:id="140"/>
    <w:p>
      <w:pPr>
        <w:ind w:right="80"/>
        <w:spacing w:after="0" w:line="264" w:lineRule="auto"/>
        <w:rPr>
          <w:sz w:val="20"/>
          <w:szCs w:val="20"/>
          <w:color w:val="auto"/>
        </w:rPr>
      </w:pPr>
      <w:r>
        <w:rPr>
          <w:rFonts w:ascii="Arial" w:cs="Arial" w:eastAsia="Arial" w:hAnsi="Arial"/>
          <w:sz w:val="18"/>
          <w:szCs w:val="18"/>
          <w:color w:val="auto"/>
        </w:rPr>
        <w:t>in such event the Number of Shares to be Delivered may be reduced below zero pursuant to the proviso to such definition). If a Transaction Announcement occurs after the Trade Date but prior to the Scheduled Earliest Acceleration Date, the Scheduled Earliest Acceleration Date shall be adjusted to be the date of such Transaction Announcement.</w:t>
      </w:r>
    </w:p>
    <w:p>
      <w:pPr>
        <w:spacing w:after="0" w:line="177" w:lineRule="exact"/>
        <w:rPr>
          <w:sz w:val="20"/>
          <w:szCs w:val="20"/>
          <w:color w:val="auto"/>
        </w:rPr>
      </w:pPr>
    </w:p>
    <w:p>
      <w:pPr>
        <w:ind w:right="20" w:firstLine="656"/>
        <w:spacing w:after="0" w:line="256" w:lineRule="auto"/>
        <w:tabs>
          <w:tab w:leader="none" w:pos="10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Announcement</w:t>
      </w:r>
      <w:r>
        <w:rPr>
          <w:rFonts w:ascii="Arial" w:cs="Arial" w:eastAsia="Arial" w:hAnsi="Arial"/>
          <w:sz w:val="18"/>
          <w:szCs w:val="18"/>
          <w:color w:val="auto"/>
        </w:rPr>
        <w:t>” means (i) the announcement of an Acquisition Transaction, (ii) an announcement that Counterparty or any of its subsidiaries has entered into an agreement, a letter of intent or an understanding to enter into an Acquisition Transaction, (iii) the announcement of an intention to solicit or enter into, or to explore strategic alternatives or other similar undertaking that may include, an Acquisition Transaction, or (iv) any other announcement that in the good faith and commercially reasonable judgment of the Calculation Agent may result in an Acquisition Transaction. For the avoidance of doubt, announcements as used in this definition of Transaction Announcement refer to any public announcement whether made by the Issuer or a third party.</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Transaction</w:t>
      </w:r>
      <w:r>
        <w:rPr>
          <w:rFonts w:ascii="Arial" w:cs="Arial" w:eastAsia="Arial" w:hAnsi="Arial"/>
          <w:sz w:val="17"/>
          <w:szCs w:val="17"/>
          <w:color w:val="auto"/>
        </w:rPr>
        <w:t>” means (i) any Merger Event (and for purposes of this definition the definition of Merger Event shall be read with the references therein to “100%” being replaced by “15%” and to “50%” by “85%” and as if the clause beginning immediately following the definition of Reverse Merger therein to the end of such definition were deleted) or Tender Offer, or any other transaction involving the merger of Counterparty with or into any third party, (ii) the sale or transfer of all or substantially all of the assets of Counterparty, (iii) a recapitalization, reclassification, binding share exchange or other similar transaction, (iv) any acquisition, lease, exchange, transfer, disposition (including by way of spin-off or distribution) of assets (including any capital stock or other ownership interests in subsidiaries) or other similar event by Counterparty or any of its subsidiaries where the aggregate consideration transferable or receivable by or to Counterparty or its subsidiaries exceeds 15% of the market capitalization of Counterparty and (v) any transaction in which Counterparty or its board of directors has a legal obligation to make a recommendation to its shareholders in respect of such transaction (whether pursuant to Rule 14e-2 under the Exchange Act or otherwise).</w:t>
      </w:r>
    </w:p>
    <w:p>
      <w:pPr>
        <w:spacing w:after="0" w:line="178"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85" w:lineRule="auto"/>
        <w:tabs>
          <w:tab w:leader="none" w:pos="1025"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either party would owe the other party</w:t>
      </w:r>
      <w:r>
        <w:rPr>
          <w:rFonts w:ascii="Arial" w:cs="Arial" w:eastAsia="Arial" w:hAnsi="Arial"/>
          <w:sz w:val="16"/>
          <w:szCs w:val="16"/>
          <w:i w:val="1"/>
          <w:iCs w:val="1"/>
          <w:color w:val="auto"/>
        </w:rPr>
        <w:t xml:space="preserve"> </w:t>
      </w:r>
      <w:r>
        <w:rPr>
          <w:rFonts w:ascii="Arial" w:cs="Arial" w:eastAsia="Arial" w:hAnsi="Arial"/>
          <w:sz w:val="16"/>
          <w:szCs w:val="16"/>
          <w:color w:val="auto"/>
        </w:rPr>
        <w:t>any amount pursuant to Sections 12.2, 12.3, 12.6, 12.7 or 12.9 of the Equity Definitions or pursuant to Section 6(d)(ii) of the Agreement (a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w:t>
      </w:r>
      <w:r>
        <w:rPr>
          <w:rFonts w:ascii="Arial" w:cs="Arial" w:eastAsia="Arial" w:hAnsi="Arial"/>
          <w:sz w:val="16"/>
          <w:szCs w:val="16"/>
          <w:color w:val="auto"/>
        </w:rPr>
        <w:t>”), Counterparty shall have the right, in its sole discretion, to satisfy or to require BofA to satisfy, as the case may be, any such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in whole or in part, by the Share Termination Alternative (as defined below) by giving irrevocable telephonic notice to BofA, confirmed in writing within one Scheduled Trading Day, no later than 9:30 A.M. New York City time on the Merger Date, Tender Offer Date, Announcement Date, Early Termination Date or date of cancellation or termination in respect of an Extraordinary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BofA would owe Counterparty the Payment Obligation and Counterparty does not elect to require BofA to satisfy such Payment Obligation by the Share Termination Alternative in whole, BofA shall have the right, in its sole discretion, to elect to satisfy any portion of such Payment Obligation that Counterparty has not so elected by the Share Termination Alternative, notwithstanding Counterparty’s failure to elect or election to the contrary;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Counterparty shall not have the right to so elect (but, for the avoidance of doubt, BofA shall have the right to so elect) in the event of (i) an Insolvency, a Nationalization, a Merger Event or a Tender Offer, in each case, in which the consideration or proceeds to be paid to holders of Shares consists solely of cash or (ii) an Event of Default in which Counterparty is the Defaulting Party or a Termination Event in which Counterparty is the Affected Party, which Event of Default or Termination Event resulted from an event or events within Counterparty’s control. Upon such Notice of Share Termination, the following provisions shall apply on the Scheduled Trading Day immediately following the Merger Date, Tender Offer Date, Announcement Date, Early Termination Date or date of cancellation or termination in respect of an Extraordinary Event, as applicable, with respect to the Payment Obligation or such portion of the Payment Obligation for which the Share Termination Alternative has been elected (the “</w:t>
      </w:r>
      <w:r>
        <w:rPr>
          <w:rFonts w:ascii="Arial" w:cs="Arial" w:eastAsia="Arial" w:hAnsi="Arial"/>
          <w:sz w:val="16"/>
          <w:szCs w:val="16"/>
          <w:b w:val="1"/>
          <w:bCs w:val="1"/>
          <w:color w:val="auto"/>
        </w:rPr>
        <w:t>Applicable Portion</w:t>
      </w:r>
      <w:r>
        <w:rPr>
          <w:rFonts w:ascii="Arial" w:cs="Arial" w:eastAsia="Arial" w:hAnsi="Arial"/>
          <w:sz w:val="16"/>
          <w:szCs w:val="16"/>
          <w:color w:val="auto"/>
        </w:rPr>
        <w:t>”):</w:t>
      </w:r>
    </w:p>
    <w:p>
      <w:pPr>
        <w:sectPr>
          <w:pgSz w:w="11900" w:h="16838" w:orient="portrait"/>
          <w:cols w:equalWidth="0" w:num="1">
            <w:col w:w="11400"/>
          </w:cols>
          <w:pgMar w:left="240" w:top="368" w:right="25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Applicable and means, if delivery pursuant to the Share Termination Alternative is owed by BofA, that BofA shall deliver to Counterparty the Share Termination Delivery Property on the date on which the Payment Obligation would otherwise be due pursuant to Section 12.7 or 12.9 of the Equity Definitions or Section 6(d)(ii) of the Agreement, as applicable, or such later date as the Calculation Agent may reasonably determine (the “</w:t>
      </w:r>
      <w:r>
        <w:rPr>
          <w:rFonts w:ascii="Arial" w:cs="Arial" w:eastAsia="Arial" w:hAnsi="Arial"/>
          <w:sz w:val="16"/>
          <w:szCs w:val="16"/>
          <w:b w:val="1"/>
          <w:bCs w:val="1"/>
          <w:color w:val="auto"/>
        </w:rPr>
        <w:t>Share Termination Payment Date</w:t>
      </w:r>
      <w:r>
        <w:rPr>
          <w:rFonts w:ascii="Arial" w:cs="Arial" w:eastAsia="Arial" w:hAnsi="Arial"/>
          <w:sz w:val="16"/>
          <w:szCs w:val="16"/>
          <w:color w:val="auto"/>
        </w:rPr>
        <w:t>”), in satisfaction of the Payment Obligation or the Applicable Portion, as the case may be. If delivery pursuant to the Share Termination Alternative is owed by Counterparty, paragraphs 2 through 5 of Annex A shall apply as if such delivery were a settlement of the Transaction to which Net Share Settlement (as defined in Annex A) applied, the</w:t>
      </w:r>
    </w:p>
    <w:p>
      <w:pPr>
        <w:spacing w:after="0" w:line="200" w:lineRule="exact"/>
        <w:rPr>
          <w:sz w:val="20"/>
          <w:szCs w:val="20"/>
          <w:color w:val="auto"/>
        </w:rPr>
      </w:pPr>
    </w:p>
    <w:p>
      <w:pPr>
        <w:sectPr>
          <w:pgSz w:w="11900" w:h="16838" w:orient="portrait"/>
          <w:cols w:equalWidth="0" w:num="2">
            <w:col w:w="2240" w:space="360"/>
            <w:col w:w="8800"/>
          </w:cols>
          <w:pgMar w:left="240" w:top="368" w:right="259" w:bottom="1440" w:gutter="0" w:footer="0" w:header="0"/>
          <w:type w:val="continuous"/>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368" w:right="259" w:bottom="1440" w:gutter="0" w:footer="0" w:header="0"/>
          <w:type w:val="continuous"/>
        </w:sectPr>
      </w:pPr>
    </w:p>
    <w:bookmarkStart w:id="141" w:name="page142"/>
    <w:bookmarkEnd w:id="141"/>
    <w:p>
      <w:pPr>
        <w:ind w:left="2600"/>
        <w:spacing w:after="0"/>
        <w:rPr>
          <w:sz w:val="20"/>
          <w:szCs w:val="20"/>
          <w:color w:val="auto"/>
        </w:rPr>
      </w:pPr>
      <w:r>
        <w:rPr>
          <w:rFonts w:ascii="Arial" w:cs="Arial" w:eastAsia="Arial" w:hAnsi="Arial"/>
          <w:sz w:val="16"/>
          <w:szCs w:val="16"/>
          <w:color w:val="auto"/>
        </w:rPr>
        <w:t>Cash Settlement Payment Date were the Early Termination Date, the Forward Cash Settlement Amount were zero (0)</w:t>
      </w:r>
    </w:p>
    <w:p>
      <w:pPr>
        <w:spacing w:after="0" w:line="73" w:lineRule="exact"/>
        <w:rPr>
          <w:sz w:val="20"/>
          <w:szCs w:val="20"/>
          <w:color w:val="auto"/>
        </w:rPr>
      </w:pPr>
    </w:p>
    <w:p>
      <w:pPr>
        <w:ind w:left="2600"/>
        <w:spacing w:after="0"/>
        <w:rPr>
          <w:sz w:val="20"/>
          <w:szCs w:val="20"/>
          <w:color w:val="auto"/>
        </w:rPr>
      </w:pPr>
      <w:r>
        <w:rPr>
          <w:rFonts w:ascii="Arial" w:cs="Arial" w:eastAsia="Arial" w:hAnsi="Arial"/>
          <w:sz w:val="16"/>
          <w:szCs w:val="16"/>
          <w:i w:val="1"/>
          <w:iCs w:val="1"/>
          <w:color w:val="auto"/>
        </w:rPr>
        <w:t xml:space="preserve">minus </w:t>
      </w:r>
      <w:r>
        <w:rPr>
          <w:rFonts w:ascii="Arial" w:cs="Arial" w:eastAsia="Arial" w:hAnsi="Arial"/>
          <w:sz w:val="16"/>
          <w:szCs w:val="16"/>
          <w:color w:val="auto"/>
        </w:rPr>
        <w:t>the Payment Obligation (or the Applicable Portion, as the case may be) owed by Counterparty, and “Shares” as</w:t>
      </w:r>
    </w:p>
    <w:p>
      <w:pPr>
        <w:spacing w:after="0" w:line="7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used in Annex A were replaced by “Share Termination Delivery Units.”</w:t>
      </w:r>
    </w:p>
    <w:p>
      <w:pPr>
        <w:sectPr>
          <w:pgSz w:w="11900" w:h="16838" w:orient="portrait"/>
          <w:cols w:equalWidth="0" w:num="1">
            <w:col w:w="11400"/>
          </w:cols>
          <w:pgMar w:left="240" w:top="395" w:right="259" w:bottom="1440" w:gutter="0" w:footer="0" w:header="0"/>
        </w:sectPr>
      </w:pP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 Termination Delivery 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number of Share Termination Delivery Units, as calculated by the Calculation Agent, equal to the Payment Obligation (or the Applicable Portion, as the case may be)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154" w:lineRule="exact"/>
        <w:rPr>
          <w:sz w:val="20"/>
          <w:szCs w:val="20"/>
          <w:color w:val="auto"/>
        </w:rPr>
      </w:pPr>
    </w:p>
    <w:p>
      <w:pPr>
        <w:sectPr>
          <w:pgSz w:w="11900" w:h="16838" w:orient="portrait"/>
          <w:cols w:equalWidth="0" w:num="2">
            <w:col w:w="2020" w:space="580"/>
            <w:col w:w="8800"/>
          </w:cols>
          <w:pgMar w:left="240" w:top="395"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The value of property contained in one Share Termination Delivery Unit on the date such Share Termination Delivery Units are to be delivered as Share Termination Delivery Property, as determined by the Calculation Agent in its discretion by commercially reasonable means and notified by the Calculation Agent to the parties at the time of notification of the Payment Obligation.</w:t>
      </w:r>
    </w:p>
    <w:p>
      <w:pPr>
        <w:spacing w:after="0" w:line="187" w:lineRule="exact"/>
        <w:rPr>
          <w:sz w:val="20"/>
          <w:szCs w:val="20"/>
          <w:color w:val="auto"/>
        </w:rPr>
      </w:pPr>
    </w:p>
    <w:p>
      <w:pPr>
        <w:sectPr>
          <w:pgSz w:w="11900" w:h="16838" w:orient="portrait"/>
          <w:cols w:equalWidth="0" w:num="2">
            <w:col w:w="2180" w:space="420"/>
            <w:col w:w="8800"/>
          </w:cols>
          <w:pgMar w:left="240" w:top="395"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6"/>
          <w:szCs w:val="16"/>
          <w:color w:val="auto"/>
        </w:rPr>
        <w:t>In the case of a Termination Event, Event of Default, Delisting or Additional Disruption Event, one Share or, in the case of an Insolvency, Nationalization, Merger Event or Tender Offer, one Share or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 Tender Offer involves a choice of consideration to be received by holders, such holder shall be deemed to have elected to receive the maximum possible amount of cash.</w:t>
      </w:r>
    </w:p>
    <w:p>
      <w:pPr>
        <w:spacing w:after="0" w:line="165" w:lineRule="exact"/>
        <w:rPr>
          <w:sz w:val="20"/>
          <w:szCs w:val="20"/>
          <w:color w:val="auto"/>
        </w:rPr>
      </w:pPr>
    </w:p>
    <w:p>
      <w:pPr>
        <w:sectPr>
          <w:pgSz w:w="11900" w:h="16838" w:orient="portrait"/>
          <w:cols w:equalWidth="0" w:num="2">
            <w:col w:w="2420" w:space="180"/>
            <w:col w:w="8800"/>
          </w:cols>
          <w:pgMar w:left="240" w:top="395" w:right="259" w:bottom="1440" w:gutter="0" w:footer="0" w:header="0"/>
          <w:type w:val="continuous"/>
        </w:sect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1880" w:space="720"/>
            <w:col w:w="8800"/>
          </w:cols>
          <w:pgMar w:left="240" w:top="395"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Share Termination Alternative is applicable, the provisions of Sections 9.8, 9.9, 9.10,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Counterparty is the issuer of the Shares or any portion of the Share Termination Delivery Units) and 9.12 of the Equity Definitions will be applicable as if “Physical Settlement” applied to the Transaction, except that all references to “Shares” shall be read as references to “Share Termination Delivery Units”.</w:t>
      </w:r>
    </w:p>
    <w:p>
      <w:pPr>
        <w:spacing w:after="0" w:line="165" w:lineRule="exact"/>
        <w:rPr>
          <w:sz w:val="20"/>
          <w:szCs w:val="20"/>
          <w:color w:val="auto"/>
        </w:rPr>
      </w:pPr>
    </w:p>
    <w:p>
      <w:pPr>
        <w:sectPr>
          <w:pgSz w:w="11900" w:h="16838" w:orient="portrait"/>
          <w:cols w:equalWidth="0" w:num="2">
            <w:col w:w="2040" w:space="560"/>
            <w:col w:w="8800"/>
          </w:cols>
          <w:pgMar w:left="240" w:top="395" w:right="259" w:bottom="1440" w:gutter="0" w:footer="0" w:header="0"/>
          <w:type w:val="continuous"/>
        </w:sectPr>
      </w:pPr>
    </w:p>
    <w:p>
      <w:pPr>
        <w:ind w:right="160" w:firstLine="656"/>
        <w:spacing w:after="0" w:line="297" w:lineRule="auto"/>
        <w:tabs>
          <w:tab w:leader="none" w:pos="1038"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Equity Rights. </w:t>
      </w:r>
      <w:r>
        <w:rPr>
          <w:rFonts w:ascii="Arial" w:cs="Arial" w:eastAsia="Arial" w:hAnsi="Arial"/>
          <w:sz w:val="16"/>
          <w:szCs w:val="16"/>
          <w:color w:val="auto"/>
        </w:rPr>
        <w:t>BofA acknowledges and agrees that this Confirmation is not intended to convey to it rights with respect to the Transaction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this Confirmation is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right="80" w:firstLine="656"/>
        <w:spacing w:after="0" w:line="271" w:lineRule="auto"/>
        <w:tabs>
          <w:tab w:leader="none" w:pos="1028"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In the event that BofA or the Calculation Agent or any of their Affiliates becomes involved in any capacity in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or investigation brought by or against any person in connection with any matter referred to in this Confirmation, Counterparty shall reimburse BofA or the Calculation Agent or such Affiliate for its reasonable legal and other out-of-pocket expenses (including the cost of any investigation and preparation) incurred in connection therewith within 30 days of receipt of notice of such expenses, and shall indemnify and hold BofA or the Calculation Agent or such Affiliate harmless on an after-tax basis against any losses, claims, damages or liabilities to which BofA or the Calculation Agent or such Affiliate may become subject in connection with any such action, proceeding or investigation, except to the extent it is finally judicially determined that such losses, claims, damages, or liabilities result from gross negligence or bad faith of BofA or the Calculation Agent or a breach by BofA or the Calculation Agent of any of its covenants or obligations hereunder. If for any reason the foregoing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95" w:right="259" w:bottom="1440" w:gutter="0" w:footer="0" w:header="0"/>
          <w:type w:val="continuous"/>
        </w:sectPr>
      </w:pPr>
    </w:p>
    <w:bookmarkStart w:id="142" w:name="page143"/>
    <w:bookmarkEnd w:id="142"/>
    <w:p>
      <w:pPr>
        <w:ind w:right="20"/>
        <w:spacing w:after="0" w:line="285" w:lineRule="auto"/>
        <w:rPr>
          <w:sz w:val="20"/>
          <w:szCs w:val="20"/>
          <w:color w:val="auto"/>
        </w:rPr>
      </w:pPr>
      <w:r>
        <w:rPr>
          <w:rFonts w:ascii="Arial" w:cs="Arial" w:eastAsia="Arial" w:hAnsi="Arial"/>
          <w:sz w:val="16"/>
          <w:szCs w:val="16"/>
          <w:color w:val="auto"/>
        </w:rPr>
        <w:t>indemnification is unavailable to BofA or the Calculation Agent or such Affiliate or insufficient to hold it harmless, then Counterparty shall contribute to the amount paid or payable by BofA or the Calculation Agent or such Affiliate as a result of such losses, claims, damages or liabilities (i) in such proportion as is appropriate to reflect the relative benefits received by Counterparty on the one hand and BofA or the Calculation Agent or such Affiliate on the other hand in the matters contemplated by this Confirmation or (ii) if the allocation provided by clause (i) above is not permitted by applicable law, in such proportion as is appropriate to reflect not only the relative benefits received by Counterparty on the one hand and BofA or the Calculation Agent or such Affiliate on the other hand in the matters contemplated by this Confirmation but also the relative fault of Counterparty and BofA or the Calculation Agent or such Affiliate with respect to such losses, claims, damages or liabilities and any other relevant equitable considerations. The relative benefits received by Counterparty, on the one hand, and BofA or the Calculation Agent or such Affiliate, on the other hand, shall be in the same proportion as the Prepayment Amount bears to the customary brokerage commission for share repurchases multiplied by the Number of Shares to be Delivered, which number may be estimated for purposes of this sentence if the relative benefits are calculated prior to the final determination of the Number of Shares to be Delivered. The reimbursement, indemnity and contribution obligations of Counterparty under this Section 10(c) shall be in addition to any liability that Counterparty may otherwise have, shall extend upon the same terms and conditions to the partners, directors, officers, agents, employees and controlling persons (if any), as the case may be, of BofA or the Calculation Agent and their Affiliates and shall be binding upon and inure to the benefit of any successors, assigns, heirs and personal representatives of Counterparty, BofA or the Calculation Agent, any such Affiliate and any such person. Counterparty also agrees that neither BofA, the Calculation Agent nor any of such Affiliates, partners, directors, officers, agents, employees or controlling persons shall have any liability to Counterparty for or in connection with any matter referred to in this Confirmation except to the extent that any losses, claims, damages, liabilities or expenses incurred by Counterparty result from the gross negligence or bad faith of BofA or the Calculation Agent or a breach by BofA or the Calculation Agent of any of its covenants or obligations hereunder. The foregoing provisions shall survive any termination or completion of the Transaction.</w:t>
      </w:r>
    </w:p>
    <w:p>
      <w:pPr>
        <w:spacing w:after="0" w:line="173" w:lineRule="exact"/>
        <w:rPr>
          <w:sz w:val="20"/>
          <w:szCs w:val="20"/>
          <w:color w:val="auto"/>
        </w:rPr>
      </w:pPr>
    </w:p>
    <w:p>
      <w:pPr>
        <w:ind w:right="100" w:firstLine="656"/>
        <w:spacing w:after="0" w:line="272" w:lineRule="auto"/>
        <w:tabs>
          <w:tab w:leader="none" w:pos="1038"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Staggered Settlement</w:t>
      </w:r>
      <w:r>
        <w:rPr>
          <w:rFonts w:ascii="Arial" w:cs="Arial" w:eastAsia="Arial" w:hAnsi="Arial"/>
          <w:sz w:val="17"/>
          <w:szCs w:val="17"/>
          <w:color w:val="auto"/>
        </w:rPr>
        <w:t>. If BofA would owe Counterparty any Shares pursuant to the “Settlement Terms” above, BofA may, by notice to</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Counterparty on or prior to the Settlement Date (a “</w:t>
      </w:r>
      <w:r>
        <w:rPr>
          <w:rFonts w:ascii="Arial" w:cs="Arial" w:eastAsia="Arial" w:hAnsi="Arial"/>
          <w:sz w:val="17"/>
          <w:szCs w:val="17"/>
          <w:b w:val="1"/>
          <w:bCs w:val="1"/>
          <w:color w:val="auto"/>
        </w:rPr>
        <w:t>Nominal Settlement Date</w:t>
      </w:r>
      <w:r>
        <w:rPr>
          <w:rFonts w:ascii="Arial" w:cs="Arial" w:eastAsia="Arial" w:hAnsi="Arial"/>
          <w:sz w:val="17"/>
          <w:szCs w:val="17"/>
          <w:color w:val="auto"/>
        </w:rPr>
        <w:t>”), elect to deliver the Shares deliverable on such Nominal Settlement Date on two or more dates (each, a “</w:t>
      </w:r>
      <w:r>
        <w:rPr>
          <w:rFonts w:ascii="Arial" w:cs="Arial" w:eastAsia="Arial" w:hAnsi="Arial"/>
          <w:sz w:val="17"/>
          <w:szCs w:val="17"/>
          <w:b w:val="1"/>
          <w:bCs w:val="1"/>
          <w:color w:val="auto"/>
        </w:rPr>
        <w:t>Staggered Settlement Date</w:t>
      </w:r>
      <w:r>
        <w:rPr>
          <w:rFonts w:ascii="Arial" w:cs="Arial" w:eastAsia="Arial" w:hAnsi="Arial"/>
          <w:sz w:val="17"/>
          <w:szCs w:val="17"/>
          <w:color w:val="auto"/>
        </w:rPr>
        <w:t>”) or at two or more times on the Nominal Settlement Date as follows: (i) in such notice, BofA will specify to Counterparty the related Staggered Settlement Dates (each of which will be on or prior to such Nominal Settlement Date) or delivery times and how it will allocate the Shares it is required to deliver under “Settlement Terms” above among the Staggered Settlement Dates or delivery times; and (ii) the aggregate number of Shares that BofA will deliver to Counterparty hereunder on all such Staggered Settlement Dates and delivery times will equal the number of Shares that BofA would otherwise be required to deliver on such Nominal Settlement Date.</w:t>
      </w:r>
    </w:p>
    <w:p>
      <w:pPr>
        <w:spacing w:after="0" w:line="177" w:lineRule="exact"/>
        <w:rPr>
          <w:rFonts w:ascii="Arial" w:cs="Arial" w:eastAsia="Arial" w:hAnsi="Arial"/>
          <w:sz w:val="17"/>
          <w:szCs w:val="17"/>
          <w:color w:val="auto"/>
        </w:rPr>
      </w:pPr>
    </w:p>
    <w:p>
      <w:pPr>
        <w:ind w:right="260" w:firstLine="656"/>
        <w:spacing w:after="0" w:line="286" w:lineRule="auto"/>
        <w:tabs>
          <w:tab w:leader="none" w:pos="1028"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Adjustments</w:t>
      </w:r>
      <w:r>
        <w:rPr>
          <w:rFonts w:ascii="Arial" w:cs="Arial" w:eastAsia="Arial" w:hAnsi="Arial"/>
          <w:sz w:val="17"/>
          <w:szCs w:val="17"/>
          <w:color w:val="auto"/>
        </w:rPr>
        <w:t>. For the avoidance of doubt, whenever the Calculation Agent is called upon to make an adjustment pursuant to the terms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Confirmation or the Definitions to take into account the effect of an event, the Calculation Agent shall make such adjustment by reference to the effect of such event on the Hedging Party, assuming that the Hedging Party maintains a commercially reasonable hedge position.</w:t>
      </w:r>
    </w:p>
    <w:p>
      <w:pPr>
        <w:spacing w:after="0" w:line="165" w:lineRule="exact"/>
        <w:rPr>
          <w:rFonts w:ascii="Arial" w:cs="Arial" w:eastAsia="Arial" w:hAnsi="Arial"/>
          <w:sz w:val="17"/>
          <w:szCs w:val="17"/>
          <w:color w:val="auto"/>
        </w:rPr>
      </w:pPr>
    </w:p>
    <w:p>
      <w:pPr>
        <w:ind w:firstLine="656"/>
        <w:spacing w:after="0" w:line="268" w:lineRule="auto"/>
        <w:tabs>
          <w:tab w:leader="none" w:pos="1008"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Transfer and Assignment</w:t>
      </w:r>
      <w:r>
        <w:rPr>
          <w:rFonts w:ascii="Arial" w:cs="Arial" w:eastAsia="Arial" w:hAnsi="Arial"/>
          <w:sz w:val="17"/>
          <w:szCs w:val="17"/>
          <w:color w:val="auto"/>
        </w:rPr>
        <w:t>. BofA may transfer or assign without any consent of the Counterparty its rights and obligations hereunder and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Agreement, in whole or in part, to (i) any of its affiliates, (ii) any entities sponsored or organized by, or on behalf of or for the benefit of, BofA or (iii) any person of credit quality equivalent to BofA. At any time at which any Excess Ownership Position or a Hedging Disruption exists, if BofA, in its discretion, is unable to effect a transfer or assignment to a third party in accordance with the requirements set forth above after using its commercially reasonable efforts on pricing terms and within a time period reasonably acceptable to BofA such that an Excess Ownership Position or a Hedging Disruption, as the case may be, no longer exists, BofA may designate any Scheduled Trading Day as an Early Termination Date with respect to a portion (the “</w:t>
      </w:r>
      <w:r>
        <w:rPr>
          <w:rFonts w:ascii="Arial" w:cs="Arial" w:eastAsia="Arial" w:hAnsi="Arial"/>
          <w:sz w:val="17"/>
          <w:szCs w:val="17"/>
          <w:b w:val="1"/>
          <w:bCs w:val="1"/>
          <w:color w:val="auto"/>
        </w:rPr>
        <w:t>Terminated Portion</w:t>
      </w:r>
      <w:r>
        <w:rPr>
          <w:rFonts w:ascii="Arial" w:cs="Arial" w:eastAsia="Arial" w:hAnsi="Arial"/>
          <w:sz w:val="17"/>
          <w:szCs w:val="17"/>
          <w:color w:val="auto"/>
        </w:rPr>
        <w:t>”) of the Transaction, such that such Excess Ownership Position or Hedging Disruption, as the case may be, no longer exists. In the event that BofA so designates an Early Termination Date with respect to a portion of the Transaction, a payment or delivery shall be made pursuant to Section 6 of the Agreement and Section 10(a) of this Confirmation as if (i) an Early Termination Date had been designated in respect of a Transaction having terms identical to the Terminated Portion of the Transaction, (ii) Counterparty shall be the sole Affected Party with respect to such partial termination and (iii) such portion of the Transaction shall be the only Terminated Transaction. “</w:t>
      </w:r>
      <w:r>
        <w:rPr>
          <w:rFonts w:ascii="Arial" w:cs="Arial" w:eastAsia="Arial" w:hAnsi="Arial"/>
          <w:sz w:val="17"/>
          <w:szCs w:val="17"/>
          <w:b w:val="1"/>
          <w:bCs w:val="1"/>
          <w:color w:val="auto"/>
        </w:rPr>
        <w:t>Excess Ownership Position</w:t>
      </w:r>
      <w:r>
        <w:rPr>
          <w:rFonts w:ascii="Arial" w:cs="Arial" w:eastAsia="Arial" w:hAnsi="Arial"/>
          <w:sz w:val="17"/>
          <w:szCs w:val="17"/>
          <w:color w:val="auto"/>
        </w:rPr>
        <w:t>” means any of the following: (i) the Equity Percentage exceeds 9.0%, (ii) BofA or any “affiliate” or “associate” of BofA would own in excess of 13% of the outstanding Shares for purposes of Section 203 of the Delaware General Corporation Law or (iii) BofA, BofA Group (as defined below) or any person whose ownership position would be aggregated with that of BofA or BofA Group (BofA, BofA Group or any such person, a “</w:t>
      </w:r>
      <w:r>
        <w:rPr>
          <w:rFonts w:ascii="Arial" w:cs="Arial" w:eastAsia="Arial" w:hAnsi="Arial"/>
          <w:sz w:val="17"/>
          <w:szCs w:val="17"/>
          <w:b w:val="1"/>
          <w:bCs w:val="1"/>
          <w:color w:val="auto"/>
        </w:rPr>
        <w:t>BofA Person</w:t>
      </w:r>
      <w:r>
        <w:rPr>
          <w:rFonts w:ascii="Arial" w:cs="Arial" w:eastAsia="Arial" w:hAnsi="Arial"/>
          <w:sz w:val="17"/>
          <w:szCs w:val="17"/>
          <w:color w:val="auto"/>
        </w:rPr>
        <w:t>”) under any federal, state or local laws, regulations or regulatory orders applicable to ownership of Shares (“</w:t>
      </w:r>
      <w:r>
        <w:rPr>
          <w:rFonts w:ascii="Arial" w:cs="Arial" w:eastAsia="Arial" w:hAnsi="Arial"/>
          <w:sz w:val="17"/>
          <w:szCs w:val="17"/>
          <w:b w:val="1"/>
          <w:bCs w:val="1"/>
          <w:color w:val="auto"/>
        </w:rPr>
        <w:t>Applicable Laws</w:t>
      </w:r>
      <w:r>
        <w:rPr>
          <w:rFonts w:ascii="Arial" w:cs="Arial" w:eastAsia="Arial" w:hAnsi="Arial"/>
          <w:sz w:val="17"/>
          <w:szCs w:val="17"/>
          <w:color w:val="auto"/>
        </w:rPr>
        <w:t>”), owns, beneficially owns,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8" w:right="259" w:bottom="1440" w:gutter="0" w:footer="0" w:header="0"/>
        </w:sectPr>
      </w:pPr>
    </w:p>
    <w:bookmarkStart w:id="143" w:name="page144"/>
    <w:bookmarkEnd w:id="143"/>
    <w:p>
      <w:pPr>
        <w:ind w:right="40"/>
        <w:spacing w:after="0" w:line="287" w:lineRule="auto"/>
        <w:rPr>
          <w:sz w:val="20"/>
          <w:szCs w:val="20"/>
          <w:color w:val="auto"/>
        </w:rPr>
      </w:pPr>
      <w:r>
        <w:rPr>
          <w:rFonts w:ascii="Arial" w:cs="Arial" w:eastAsia="Arial" w:hAnsi="Arial"/>
          <w:sz w:val="16"/>
          <w:szCs w:val="16"/>
          <w:color w:val="auto"/>
        </w:rPr>
        <w:t xml:space="preserve">constructively owns, controls, holds the power to vote or otherwise meets a relevant definition of ownership in excess of a number of Shares equal to (x) the number of Shares that would give rise to reporting or registration obligations or other requirements (including obtaining prior approval by a state or federal regulator) of a BofA Person under Applicable Laws and with respect to which such requirements have not been met or the relevant approval has not been received or that would give rise to any consequences under the constitutive documents of Counterparty or any contract or agreement to which Counterparty is a party, in each case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The “</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 expressed as a percentage, (A) the numerator of which is the number of Shares that BofA and any of its affiliates or any other person subject to aggregation with BofA, for purposes of the “beneficial ownership” test under Section 13 of the Exchange Act, or any “group” (within the meaning of Section 13 of the Exchange Act) of which BofA is or may be deemed to be a part (BofA and any such affiliates, persons and groups, collectively, “</w:t>
      </w:r>
      <w:r>
        <w:rPr>
          <w:rFonts w:ascii="Arial" w:cs="Arial" w:eastAsia="Arial" w:hAnsi="Arial"/>
          <w:sz w:val="16"/>
          <w:szCs w:val="16"/>
          <w:b w:val="1"/>
          <w:bCs w:val="1"/>
          <w:color w:val="auto"/>
        </w:rPr>
        <w:t>BofA Group</w:t>
      </w:r>
      <w:r>
        <w:rPr>
          <w:rFonts w:ascii="Arial" w:cs="Arial" w:eastAsia="Arial" w:hAnsi="Arial"/>
          <w:sz w:val="16"/>
          <w:szCs w:val="16"/>
          <w:color w:val="auto"/>
        </w:rPr>
        <w:t>”) beneficially owns (within the meaning of Section 13 of the Exchange Act), without duplication, on such day (or, to the extent that, as a result of a change in law, regulation or interpretation after the date hereof, the equivalent calculation under Section 16 of the Exchange Act and the rules and regulations thereunder results in a higher number, such number) and (B) the denominator of which is the number of Shares outstanding on such day.</w:t>
      </w:r>
    </w:p>
    <w:p>
      <w:pPr>
        <w:spacing w:after="0" w:line="169" w:lineRule="exact"/>
        <w:rPr>
          <w:sz w:val="20"/>
          <w:szCs w:val="20"/>
          <w:color w:val="auto"/>
        </w:rPr>
      </w:pPr>
    </w:p>
    <w:p>
      <w:pPr>
        <w:ind w:right="40" w:firstLine="656"/>
        <w:spacing w:after="0" w:line="285" w:lineRule="auto"/>
        <w:tabs>
          <w:tab w:leader="none" w:pos="1038"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Disposition of Hedge Shares</w:t>
      </w:r>
      <w:r>
        <w:rPr>
          <w:rFonts w:ascii="Arial" w:cs="Arial" w:eastAsia="Arial" w:hAnsi="Arial"/>
          <w:sz w:val="16"/>
          <w:szCs w:val="16"/>
          <w:color w:val="auto"/>
        </w:rPr>
        <w:t>. Counterparty hereby agrees that if, in the good faith reasonable judgment of BofA, any Shares (the “</w:t>
      </w:r>
      <w:r>
        <w:rPr>
          <w:rFonts w:ascii="Arial" w:cs="Arial" w:eastAsia="Arial" w:hAnsi="Arial"/>
          <w:sz w:val="16"/>
          <w:szCs w:val="16"/>
          <w:b w:val="1"/>
          <w:bCs w:val="1"/>
          <w:color w:val="auto"/>
        </w:rPr>
        <w:t>Hedge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acquired by BofA for the purpose of hedging its obligations pursuant to the Transaction cannot be sold in the public market by BofA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registration under the Securities Act, Counterparty shall, at its election: (i) in order to allow BofA to sell the Hedge Shares in a registered offering, make available to BofA an effective registration statement under the Securities Act to cover the resale of such Hedge Shares and (A) enter into an agreement, in form and substance satisfactory to BofA, substantially in the form of an underwriting agreement for a registered offering, (B) provide accountant’s “comfort” letters in customary form for registered offerings of equity securities, (C) provide disclosure opinions of nationally recognized outside counsel to Counterparty reasonably acceptable to BofA, (D) provide other customary opinions, certificates and closing documents customary in form for registered offerings of equity securities and (E) afford BofA a reasonable opportunity to conduct a “due diligence” investigation with respect to Counterparty customary in scope for underwritten offerings of equity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BofA, in its sole reasonable discretion, is not satisfied with access to due diligence materials, the results of its due diligence investigation, or the procedures and documentation for the registered offering referred to above, then clause (ii) or clause (iii) of this Section 10(g) shall apply at the election of Counterparty; (ii) in order to allow BofA to sell the Hedge Shares in a private placement, enter into a private placement agreement substantially similar to private placement purchase agreements customary for private placements of equity securities, in form and substance satisfactory to BofA, including customary representations, covenants, blue sky and other governmental filings and/or registrations, indemnities to BofA, due diligence rights (for BofA or any designated buyer of the Hedge Shares from BofA), opinions and certificates and such other documentation as is customary for private placements agreements, all reasonably acceptable to BofA (in which case, the Calculation Agent shall make any adjustments to the terms of the Transaction that are necessary, in its reasonable judgment, to compensate BofA for any discount from the public market price of the Shares incurred on the sale of Hedge Shares in a private placement); or (iii) purchase the Hedge Shares from BofA at the Volume Weighted Average Price on such Exchange Business Days, and in the amounts, requested by BofA. “</w:t>
      </w:r>
      <w:r>
        <w:rPr>
          <w:rFonts w:ascii="Arial" w:cs="Arial" w:eastAsia="Arial" w:hAnsi="Arial"/>
          <w:sz w:val="16"/>
          <w:szCs w:val="16"/>
          <w:b w:val="1"/>
          <w:bCs w:val="1"/>
          <w:color w:val="auto"/>
        </w:rPr>
        <w:t>Volume Weighted Average Price</w:t>
      </w:r>
      <w:r>
        <w:rPr>
          <w:rFonts w:ascii="Arial" w:cs="Arial" w:eastAsia="Arial" w:hAnsi="Arial"/>
          <w:sz w:val="16"/>
          <w:szCs w:val="16"/>
          <w:color w:val="auto"/>
        </w:rPr>
        <w:t>” means, on any Exchange Business Day, the per Share volume-weighted average price as displayed under the heading “Bloomberg VWAP” on Bloomberg page QRVO &lt;equity&gt; VAP (or any successor thereto) in respect of the period from 9:30 a.m. to 4:00 p.m. (New York City time) on such Exchange Business Day (or if such volume-weighted average price is unavailable or is manifestly incorrect, the market value of one Share on such Exchange Business Day, as determined by the Calculation Agent using a volume-weighted method).</w:t>
      </w:r>
    </w:p>
    <w:p>
      <w:pPr>
        <w:spacing w:after="0" w:line="385" w:lineRule="exact"/>
        <w:rPr>
          <w:rFonts w:ascii="Arial" w:cs="Arial" w:eastAsia="Arial" w:hAnsi="Arial"/>
          <w:sz w:val="16"/>
          <w:szCs w:val="16"/>
          <w:color w:val="auto"/>
        </w:rPr>
      </w:pPr>
    </w:p>
    <w:p>
      <w:pPr>
        <w:ind w:right="120" w:firstLine="656"/>
        <w:spacing w:after="0" w:line="259" w:lineRule="auto"/>
        <w:tabs>
          <w:tab w:leader="none" w:pos="1038"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Additional Termination Event</w:t>
      </w:r>
      <w:r>
        <w:rPr>
          <w:rFonts w:ascii="Arial" w:cs="Arial" w:eastAsia="Arial" w:hAnsi="Arial"/>
          <w:sz w:val="18"/>
          <w:szCs w:val="18"/>
          <w:color w:val="auto"/>
        </w:rPr>
        <w:t>. It shall constitute an Additional Termination Event with respect to which the Transaction is the sole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Counterparty is the sole Affected Party and BofA shall be the party entitled to designate an Early Termination Date pursuant to Section 6(b) of the Agreement if at any time during the Relevant Period, the price per Share on the Exchange, as determined by the Calculation Agent, is at or below the Threshold Price (as provided in Annex B to this Confirmation).</w:t>
      </w:r>
    </w:p>
    <w:p>
      <w:pPr>
        <w:spacing w:after="0" w:line="186" w:lineRule="exact"/>
        <w:rPr>
          <w:rFonts w:ascii="Arial" w:cs="Arial" w:eastAsia="Arial" w:hAnsi="Arial"/>
          <w:sz w:val="18"/>
          <w:szCs w:val="18"/>
          <w:color w:val="auto"/>
        </w:rPr>
      </w:pPr>
    </w:p>
    <w:p>
      <w:pPr>
        <w:ind w:left="1000" w:hanging="344"/>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Amendments to Equity Definitions</w:t>
      </w:r>
      <w:r>
        <w:rPr>
          <w:rFonts w:ascii="Arial" w:cs="Arial" w:eastAsia="Arial" w:hAnsi="Arial"/>
          <w:sz w:val="18"/>
          <w:szCs w:val="18"/>
          <w:color w:val="auto"/>
        </w:rPr>
        <w:t>. The following amendments shall be made to the Equity Definitions:</w:t>
      </w:r>
    </w:p>
    <w:p>
      <w:pPr>
        <w:spacing w:after="0" w:line="225" w:lineRule="exact"/>
        <w:rPr>
          <w:rFonts w:ascii="Arial" w:cs="Arial" w:eastAsia="Arial" w:hAnsi="Arial"/>
          <w:sz w:val="18"/>
          <w:szCs w:val="18"/>
          <w:color w:val="auto"/>
        </w:rPr>
      </w:pPr>
    </w:p>
    <w:p>
      <w:pPr>
        <w:ind w:left="660" w:firstLine="645"/>
        <w:spacing w:after="0" w:line="277" w:lineRule="auto"/>
        <w:tabs>
          <w:tab w:leader="none" w:pos="1703"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“a diluting or concentrative effect on the theoretical value of the relevant Shares” and replacing them with the words “an economic effect on the relevant Transaction”;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68" w:right="259" w:bottom="1440" w:gutter="0" w:footer="0" w:header="0"/>
        </w:sectPr>
      </w:pPr>
    </w:p>
    <w:bookmarkStart w:id="144" w:name="page145"/>
    <w:bookmarkEnd w:id="144"/>
    <w:p>
      <w:pPr>
        <w:ind w:left="620" w:right="40" w:firstLine="645"/>
        <w:spacing w:after="0" w:line="270" w:lineRule="auto"/>
        <w:tabs>
          <w:tab w:leader="none" w:pos="171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The first sentence of Section 11.2(c) of the Equity Definitions, prior to clause (A) thereof, is hereby amended to read as follows: “(c) If ‘Calculation Agent Adjustment’ is specified as the Method of Adjustment in the related Confirmation of a Share Option Transaction or Share Forward Transaction, then following the announcement or occurrence of any Potential Adjustment Event, the Calculation Agent will determine whether such Potential Adjustment Event has an economic effect on the Transaction and, if so, will (i) make appropriate adjustment(s), if any, to any one or more of:” </w:t>
      </w:r>
      <w:r>
        <w:rPr>
          <w:rFonts w:ascii="Arial" w:cs="Arial" w:eastAsia="Arial" w:hAnsi="Arial"/>
          <w:sz w:val="17"/>
          <w:szCs w:val="17"/>
          <w:i w:val="1"/>
          <w:iCs w:val="1"/>
          <w:color w:val="auto"/>
        </w:rPr>
        <w:t>and</w:t>
      </w:r>
      <w:r>
        <w:rPr>
          <w:rFonts w:ascii="Arial" w:cs="Arial" w:eastAsia="Arial" w:hAnsi="Arial"/>
          <w:sz w:val="17"/>
          <w:szCs w:val="17"/>
          <w:color w:val="auto"/>
        </w:rPr>
        <w:t xml:space="preserve"> clause (B) thereof is hereby amended by inserting, after “the Forward Price,” “the Minimum Shares” </w:t>
      </w:r>
      <w:r>
        <w:rPr>
          <w:rFonts w:ascii="Arial" w:cs="Arial" w:eastAsia="Arial" w:hAnsi="Arial"/>
          <w:sz w:val="17"/>
          <w:szCs w:val="17"/>
          <w:i w:val="1"/>
          <w:iCs w:val="1"/>
          <w:color w:val="auto"/>
        </w:rPr>
        <w:t>and</w:t>
      </w:r>
      <w:r>
        <w:rPr>
          <w:rFonts w:ascii="Arial" w:cs="Arial" w:eastAsia="Arial" w:hAnsi="Arial"/>
          <w:sz w:val="17"/>
          <w:szCs w:val="17"/>
          <w:color w:val="auto"/>
        </w:rPr>
        <w:t xml:space="preserve"> the portion of such sentence immediately preceding clause (ii) thereof is hereby amended by deleting the words “diluting or concentrative” and the words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stock loan rate or liquidity relative to the relevant Shares)”;</w:t>
      </w:r>
    </w:p>
    <w:p>
      <w:pPr>
        <w:spacing w:after="0" w:line="181" w:lineRule="exact"/>
        <w:rPr>
          <w:rFonts w:ascii="Arial" w:cs="Arial" w:eastAsia="Arial" w:hAnsi="Arial"/>
          <w:sz w:val="17"/>
          <w:szCs w:val="17"/>
          <w:color w:val="auto"/>
        </w:rPr>
      </w:pPr>
    </w:p>
    <w:p>
      <w:pPr>
        <w:ind w:left="620" w:right="520" w:firstLine="645"/>
        <w:spacing w:after="0" w:line="308" w:lineRule="auto"/>
        <w:tabs>
          <w:tab w:leader="none" w:pos="1763" w:val="left"/>
        </w:tabs>
        <w:numPr>
          <w:ilvl w:val="1"/>
          <w:numId w:val="79"/>
        </w:numPr>
        <w:rPr>
          <w:rFonts w:ascii="Arial" w:cs="Arial" w:eastAsia="Arial" w:hAnsi="Arial"/>
          <w:sz w:val="17"/>
          <w:szCs w:val="17"/>
          <w:color w:val="auto"/>
        </w:rPr>
      </w:pPr>
      <w:r>
        <w:rPr>
          <w:rFonts w:ascii="Arial" w:cs="Arial" w:eastAsia="Arial" w:hAnsi="Arial"/>
          <w:sz w:val="17"/>
          <w:szCs w:val="17"/>
          <w:color w:val="auto"/>
        </w:rPr>
        <w:t>Section 11.2(e)(vii) of the Equity Definitions is hereby amended by deleting the words “diluting or concentrative effect on the theoretical value of the relevant Shares” and replacing them with the words “economic effect on the relevant Transaction”;</w:t>
      </w:r>
    </w:p>
    <w:p>
      <w:pPr>
        <w:spacing w:after="0" w:line="146" w:lineRule="exact"/>
        <w:rPr>
          <w:rFonts w:ascii="Arial" w:cs="Arial" w:eastAsia="Arial" w:hAnsi="Arial"/>
          <w:sz w:val="17"/>
          <w:szCs w:val="17"/>
          <w:color w:val="auto"/>
        </w:rPr>
      </w:pPr>
    </w:p>
    <w:p>
      <w:pPr>
        <w:ind w:left="620" w:right="260" w:firstLine="645"/>
        <w:spacing w:after="0" w:line="259" w:lineRule="auto"/>
        <w:tabs>
          <w:tab w:leader="none" w:pos="1753" w:val="left"/>
        </w:tabs>
        <w:numPr>
          <w:ilvl w:val="1"/>
          <w:numId w:val="79"/>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BofA’s option, the occurrence of any of the events specified in Section 5(a)(vii) (1) through (9) of the ISDA Master Agreement with respect to that issuer”;</w:t>
      </w:r>
    </w:p>
    <w:p>
      <w:pPr>
        <w:spacing w:after="0" w:line="186" w:lineRule="exact"/>
        <w:rPr>
          <w:rFonts w:ascii="Arial" w:cs="Arial" w:eastAsia="Arial" w:hAnsi="Arial"/>
          <w:sz w:val="18"/>
          <w:szCs w:val="18"/>
          <w:color w:val="auto"/>
        </w:rPr>
      </w:pPr>
    </w:p>
    <w:p>
      <w:pPr>
        <w:jc w:val="both"/>
        <w:ind w:left="620" w:right="220" w:firstLine="645"/>
        <w:spacing w:after="0" w:line="264" w:lineRule="auto"/>
        <w:tabs>
          <w:tab w:leader="none" w:pos="16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 (A) deleting (1) subsection (A) in its entirety, (2) the phrase “or (B)” following subsection (A) and (3) the phrase “in each case” in subsection (B); and (B) deleting the phrase “neither the Non-Hedging Party nor the Lending Party lends Shares in the amount of the Hedging Shares or” in the penultimate sentence; and</w:t>
      </w:r>
    </w:p>
    <w:p>
      <w:pPr>
        <w:spacing w:after="0" w:line="181" w:lineRule="exact"/>
        <w:rPr>
          <w:rFonts w:ascii="Arial" w:cs="Arial" w:eastAsia="Arial" w:hAnsi="Arial"/>
          <w:sz w:val="18"/>
          <w:szCs w:val="18"/>
          <w:color w:val="auto"/>
        </w:rPr>
      </w:pPr>
    </w:p>
    <w:p>
      <w:pPr>
        <w:ind w:left="620" w:firstLine="645"/>
        <w:spacing w:after="0" w:line="259" w:lineRule="auto"/>
        <w:tabs>
          <w:tab w:leader="none" w:pos="1708" w:val="left"/>
        </w:tabs>
        <w:numPr>
          <w:ilvl w:val="1"/>
          <w:numId w:val="79"/>
        </w:numPr>
        <w:rPr>
          <w:rFonts w:ascii="Arial" w:cs="Arial" w:eastAsia="Arial" w:hAnsi="Arial"/>
          <w:sz w:val="18"/>
          <w:szCs w:val="18"/>
          <w:color w:val="auto"/>
        </w:rPr>
      </w:pPr>
      <w:r>
        <w:rPr>
          <w:rFonts w:ascii="Arial" w:cs="Arial" w:eastAsia="Arial" w:hAnsi="Arial"/>
          <w:sz w:val="18"/>
          <w:szCs w:val="18"/>
          <w:color w:val="auto"/>
        </w:rPr>
        <w:t>Section 12.9(b)(v) of the Equity Definitions is hereby amended by (A) adding the word “or” immediately before subsection “(B)” and deleting the comma at the end of subsection (A); and (B)(1) deleting subsection (C) in its entirety, (2) deleting the word “or” immediately preceding subsection (C) and (3) replacing in the penultimate sentence the words “either party” with “the Hedging Party” and (4) deleting clause (X) in the final sentence.</w:t>
      </w:r>
    </w:p>
    <w:p>
      <w:pPr>
        <w:spacing w:after="0" w:line="186" w:lineRule="exact"/>
        <w:rPr>
          <w:rFonts w:ascii="Arial" w:cs="Arial" w:eastAsia="Arial" w:hAnsi="Arial"/>
          <w:sz w:val="18"/>
          <w:szCs w:val="18"/>
          <w:color w:val="auto"/>
        </w:rPr>
      </w:pPr>
    </w:p>
    <w:p>
      <w:pPr>
        <w:ind w:left="80" w:right="120" w:firstLine="536"/>
        <w:spacing w:after="0" w:line="277" w:lineRule="auto"/>
        <w:tabs>
          <w:tab w:leader="none" w:pos="97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No Netting and Set-off</w:t>
      </w:r>
      <w:r>
        <w:rPr>
          <w:rFonts w:ascii="Arial" w:cs="Arial" w:eastAsia="Arial" w:hAnsi="Arial"/>
          <w:sz w:val="18"/>
          <w:szCs w:val="18"/>
          <w:color w:val="auto"/>
        </w:rPr>
        <w:t>. Each party waives any and all rights it may have to set off obligations arising under the Agreement and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other obligations between the parties, whether arising under any other agreement, applicable law or otherwise.</w:t>
      </w:r>
    </w:p>
    <w:p>
      <w:pPr>
        <w:spacing w:after="0" w:line="170" w:lineRule="exact"/>
        <w:rPr>
          <w:rFonts w:ascii="Arial" w:cs="Arial" w:eastAsia="Arial" w:hAnsi="Arial"/>
          <w:sz w:val="18"/>
          <w:szCs w:val="18"/>
          <w:color w:val="auto"/>
        </w:rPr>
      </w:pPr>
    </w:p>
    <w:p>
      <w:pPr>
        <w:ind w:left="-40" w:right="120" w:firstLine="656"/>
        <w:spacing w:after="0" w:line="312" w:lineRule="auto"/>
        <w:tabs>
          <w:tab w:leader="none" w:pos="99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Effective from the date of commencement of discussions concerning the Transaction, Counterparty and each of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6"/>
          <w:szCs w:val="16"/>
          <w:color w:val="auto"/>
        </w:rPr>
      </w:pPr>
    </w:p>
    <w:p>
      <w:pPr>
        <w:ind w:left="-40" w:right="20" w:firstLine="656"/>
        <w:spacing w:after="0" w:line="273" w:lineRule="auto"/>
        <w:tabs>
          <w:tab w:leader="none" w:pos="958"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Designation by BofA</w:t>
      </w:r>
      <w:r>
        <w:rPr>
          <w:rFonts w:ascii="Arial" w:cs="Arial" w:eastAsia="Arial" w:hAnsi="Arial"/>
          <w:sz w:val="17"/>
          <w:szCs w:val="17"/>
          <w:color w:val="auto"/>
        </w:rPr>
        <w:t>. Notwithstanding any other provision in this Confirmation to the contrary requiring or allowing BofA to purchase, sell,</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or deliver any Shares or other securities to or from Counterparty, BofA (the “</w:t>
      </w:r>
      <w:r>
        <w:rPr>
          <w:rFonts w:ascii="Arial" w:cs="Arial" w:eastAsia="Arial" w:hAnsi="Arial"/>
          <w:sz w:val="17"/>
          <w:szCs w:val="17"/>
          <w:b w:val="1"/>
          <w:bCs w:val="1"/>
          <w:color w:val="auto"/>
        </w:rPr>
        <w:t>Designator</w:t>
      </w:r>
      <w:r>
        <w:rPr>
          <w:rFonts w:ascii="Arial" w:cs="Arial" w:eastAsia="Arial" w:hAnsi="Arial"/>
          <w:sz w:val="17"/>
          <w:szCs w:val="17"/>
          <w:color w:val="auto"/>
        </w:rPr>
        <w:t>”) may designate any of its Affiliates (the “</w:t>
      </w:r>
      <w:r>
        <w:rPr>
          <w:rFonts w:ascii="Arial" w:cs="Arial" w:eastAsia="Arial" w:hAnsi="Arial"/>
          <w:sz w:val="17"/>
          <w:szCs w:val="17"/>
          <w:b w:val="1"/>
          <w:bCs w:val="1"/>
          <w:color w:val="auto"/>
        </w:rPr>
        <w:t>Designee</w:t>
      </w:r>
      <w:r>
        <w:rPr>
          <w:rFonts w:ascii="Arial" w:cs="Arial" w:eastAsia="Arial" w:hAnsi="Arial"/>
          <w:sz w:val="17"/>
          <w:szCs w:val="17"/>
          <w:color w:val="auto"/>
        </w:rPr>
        <w:t>”) to deliver or take delivery, as the case may be, and otherwise perform its obligations to deliver, if any, or take delivery of, as the case may be, any such Shares or other securities in respect of the Transaction, and the Designee may assume such obligations, if any. Such designation shall not relieve the Designator of any of its obligations, if any, hereunder. Notwithstanding the previous sentence, if the Designee shall have performed the obligations, if any, of the Designator hereunder, then the Designator shall be discharged of its obligations, if any, to Counterparty to the extent of such performance.</w:t>
      </w:r>
    </w:p>
    <w:p>
      <w:pPr>
        <w:spacing w:after="0" w:line="178" w:lineRule="exact"/>
        <w:rPr>
          <w:rFonts w:ascii="Arial" w:cs="Arial" w:eastAsia="Arial" w:hAnsi="Arial"/>
          <w:sz w:val="17"/>
          <w:szCs w:val="17"/>
          <w:color w:val="auto"/>
        </w:rPr>
      </w:pPr>
    </w:p>
    <w:p>
      <w:pPr>
        <w:ind w:left="-40" w:right="20" w:firstLine="656"/>
        <w:spacing w:after="0" w:line="255" w:lineRule="auto"/>
        <w:tabs>
          <w:tab w:leader="none" w:pos="1093"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Wall Street Transparency and Accountability Act of 2010</w:t>
      </w:r>
      <w:r>
        <w:rPr>
          <w:rFonts w:ascii="Arial" w:cs="Arial" w:eastAsia="Arial" w:hAnsi="Arial"/>
          <w:sz w:val="18"/>
          <w:szCs w:val="18"/>
          <w:color w:val="auto"/>
        </w:rPr>
        <w:t>. The parties hereby agree that none of (i) Section 739 of the Wall Street</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Transparency and Accountability Act of 2010 (the “WSTAA”), (ii) any similar legal certainty provision included in any legislation enacted, or rule or regulation promulgated, on or after the Trade Date, (iii) the enactment of the WSTAA or any regulation under the WSTAA, (iv) any requirement under the WSTAA or (v) any amendment made by the WSTAA shall limit or otherwise impair either party’s right to terminate, renegotiate, modify, amend or supplement this Confirmation or the Agreement, as applicable, arising from a termination event, force majeure, illegality, increased cost, regulatory change or similar event under this Confirmation, the Equity Definitions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368" w:right="25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color w:val="auto"/>
        </w:rPr>
        <w:t>the Agreement (including, but not limited to, any right arising from any Change in Law, Hedging Disruption, Increased Cost of Hedging or Illegality).</w:t>
      </w:r>
    </w:p>
    <w:p>
      <w:pPr>
        <w:spacing w:after="0" w:line="237" w:lineRule="exact"/>
        <w:rPr>
          <w:sz w:val="20"/>
          <w:szCs w:val="20"/>
          <w:color w:val="auto"/>
        </w:rPr>
      </w:pPr>
    </w:p>
    <w:p>
      <w:pPr>
        <w:ind w:left="1040" w:hanging="384"/>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Tax Matters</w:t>
      </w:r>
    </w:p>
    <w:p>
      <w:pPr>
        <w:spacing w:after="0" w:line="225" w:lineRule="exact"/>
        <w:rPr>
          <w:rFonts w:ascii="Arial" w:cs="Arial" w:eastAsia="Arial" w:hAnsi="Arial"/>
          <w:sz w:val="18"/>
          <w:szCs w:val="18"/>
          <w:color w:val="auto"/>
        </w:rPr>
      </w:pPr>
    </w:p>
    <w:p>
      <w:pPr>
        <w:ind w:left="1960" w:hanging="655"/>
        <w:spacing w:after="0" w:line="271" w:lineRule="auto"/>
        <w:tabs>
          <w:tab w:leader="none" w:pos="1960" w:val="left"/>
        </w:tabs>
        <w:numPr>
          <w:ilvl w:val="2"/>
          <w:numId w:val="81"/>
        </w:numPr>
        <w:rPr>
          <w:rFonts w:ascii="Arial" w:cs="Arial" w:eastAsia="Arial" w:hAnsi="Arial"/>
          <w:sz w:val="17"/>
          <w:szCs w:val="17"/>
          <w:color w:val="auto"/>
        </w:rPr>
      </w:pPr>
      <w:r>
        <w:rPr>
          <w:rFonts w:ascii="Arial" w:cs="Arial" w:eastAsia="Arial" w:hAnsi="Arial"/>
          <w:sz w:val="17"/>
          <w:szCs w:val="17"/>
          <w:i w:val="1"/>
          <w:iCs w:val="1"/>
          <w:color w:val="auto"/>
        </w:rPr>
        <w:t>Withholding Tax imposed on payments to non-US counterparties under the United States Foreign Account Tax Compliance Act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“Tax” and “Indemnifiable Tax”, each as defined in Section 14 of the Agreement, shall not include any U.S. federal withholding tax imposed or collected pursuant to Sections 1471 through 1474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7"/>
          <w:szCs w:val="17"/>
          <w:b w:val="1"/>
          <w:bCs w:val="1"/>
          <w:color w:val="auto"/>
        </w:rPr>
        <w:t>FATCA Withholding Tax</w:t>
      </w:r>
      <w:r>
        <w:rPr>
          <w:rFonts w:ascii="Arial" w:cs="Arial" w:eastAsia="Arial" w:hAnsi="Arial"/>
          <w:sz w:val="17"/>
          <w:szCs w:val="17"/>
          <w:color w:val="auto"/>
        </w:rPr>
        <w:t>”). For the avoidance of doubt, a FATCA Withholding Tax is a Tax the deduction or withholding of which is required by applicable law for the purposes of Section 2(d) of the Agreement.</w:t>
      </w:r>
    </w:p>
    <w:p>
      <w:pPr>
        <w:spacing w:after="0" w:line="178" w:lineRule="exact"/>
        <w:rPr>
          <w:rFonts w:ascii="Arial" w:cs="Arial" w:eastAsia="Arial" w:hAnsi="Arial"/>
          <w:sz w:val="17"/>
          <w:szCs w:val="17"/>
          <w:color w:val="auto"/>
        </w:rPr>
      </w:pPr>
    </w:p>
    <w:p>
      <w:pPr>
        <w:jc w:val="both"/>
        <w:ind w:left="1960" w:right="160" w:hanging="655"/>
        <w:spacing w:after="0" w:line="264" w:lineRule="auto"/>
        <w:tabs>
          <w:tab w:leader="none" w:pos="1960" w:val="left"/>
        </w:tabs>
        <w:numPr>
          <w:ilvl w:val="2"/>
          <w:numId w:val="81"/>
        </w:numPr>
        <w:rPr>
          <w:rFonts w:ascii="Arial" w:cs="Arial" w:eastAsia="Arial" w:hAnsi="Arial"/>
          <w:sz w:val="18"/>
          <w:szCs w:val="18"/>
          <w:color w:val="auto"/>
        </w:rPr>
      </w:pPr>
      <w:r>
        <w:rPr>
          <w:rFonts w:ascii="Arial" w:cs="Arial" w:eastAsia="Arial" w:hAnsi="Arial"/>
          <w:sz w:val="18"/>
          <w:szCs w:val="18"/>
          <w:i w:val="1"/>
          <w:iCs w:val="1"/>
          <w:color w:val="auto"/>
        </w:rPr>
        <w:t>HIRE Act</w:t>
      </w:r>
      <w:r>
        <w:rPr>
          <w:rFonts w:ascii="Arial" w:cs="Arial" w:eastAsia="Arial" w:hAnsi="Arial"/>
          <w:sz w:val="18"/>
          <w:szCs w:val="18"/>
          <w:color w:val="auto"/>
        </w:rPr>
        <w:t>. “Tax” and “Indemnifiable Tax”, each as defined in Section 14 of the Agreement, shall not include any tax imposed 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treated as dividends from sources within the United States under Section 871(m) of the Code or any regulations issued thereunder.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2"/>
          <w:numId w:val="81"/>
        </w:numPr>
        <w:rPr>
          <w:rFonts w:ascii="Arial" w:cs="Arial" w:eastAsia="Arial" w:hAnsi="Arial"/>
          <w:sz w:val="16"/>
          <w:szCs w:val="16"/>
          <w:color w:val="auto"/>
        </w:rPr>
      </w:pPr>
      <w:r>
        <w:rPr>
          <w:rFonts w:ascii="Arial" w:cs="Arial" w:eastAsia="Arial" w:hAnsi="Arial"/>
          <w:sz w:val="16"/>
          <w:szCs w:val="16"/>
          <w:i w:val="1"/>
          <w:iCs w:val="1"/>
          <w:color w:val="auto"/>
        </w:rPr>
        <w:t>Tax documentation</w:t>
      </w:r>
      <w:r>
        <w:rPr>
          <w:rFonts w:ascii="Arial" w:cs="Arial" w:eastAsia="Arial" w:hAnsi="Arial"/>
          <w:sz w:val="16"/>
          <w:szCs w:val="16"/>
          <w:color w:val="auto"/>
        </w:rPr>
        <w:t>. Counterparty shall provide to BofA a valid U.S. Internal Revenue Service Form W-9, or any successor thereto,</w:t>
      </w:r>
    </w:p>
    <w:p>
      <w:pPr>
        <w:spacing w:after="0" w:line="46" w:lineRule="exact"/>
        <w:rPr>
          <w:rFonts w:ascii="Arial" w:cs="Arial" w:eastAsia="Arial" w:hAnsi="Arial"/>
          <w:sz w:val="16"/>
          <w:szCs w:val="16"/>
          <w:color w:val="auto"/>
        </w:rPr>
      </w:pPr>
    </w:p>
    <w:p>
      <w:pPr>
        <w:ind w:left="1960" w:right="340"/>
        <w:spacing w:after="0" w:line="255" w:lineRule="auto"/>
        <w:rPr>
          <w:rFonts w:ascii="Arial" w:cs="Arial" w:eastAsia="Arial" w:hAnsi="Arial"/>
          <w:sz w:val="16"/>
          <w:szCs w:val="16"/>
          <w:color w:val="auto"/>
        </w:rPr>
      </w:pPr>
      <w:r>
        <w:rPr>
          <w:rFonts w:ascii="Arial" w:cs="Arial" w:eastAsia="Arial" w:hAnsi="Arial"/>
          <w:sz w:val="18"/>
          <w:szCs w:val="18"/>
          <w:color w:val="auto"/>
        </w:rPr>
        <w:t>(i) on or before the date of execution of this Confirmation and (ii) promptly upon learning that any such tax form previously provided by Counterparty has become obsolete or incorrect. Additionally, Counterparty shall, promptly upon request by BofA, provide such other tax forms and documents requested by BofA.</w:t>
      </w:r>
    </w:p>
    <w:p>
      <w:pPr>
        <w:spacing w:after="0" w:line="190" w:lineRule="exact"/>
        <w:rPr>
          <w:rFonts w:ascii="Arial" w:cs="Arial" w:eastAsia="Arial" w:hAnsi="Arial"/>
          <w:sz w:val="16"/>
          <w:szCs w:val="16"/>
          <w:color w:val="auto"/>
        </w:rPr>
      </w:pPr>
    </w:p>
    <w:p>
      <w:pPr>
        <w:ind w:left="1040" w:hanging="384"/>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Termination Currency</w:t>
      </w:r>
      <w:r>
        <w:rPr>
          <w:rFonts w:ascii="Arial" w:cs="Arial" w:eastAsia="Arial" w:hAnsi="Arial"/>
          <w:sz w:val="18"/>
          <w:szCs w:val="18"/>
          <w:color w:val="auto"/>
        </w:rPr>
        <w:t>. The Termination Currency shall be USD.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Agreements regarding the Supplemental Terms 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20" w:firstLine="537"/>
        <w:spacing w:after="0" w:line="276" w:lineRule="auto"/>
        <w:tabs>
          <w:tab w:leader="none" w:pos="1595"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Counterparty accepts and agrees to be bound by the contractual terms and conditions as set forth in the Supplemental Terms Notice for the Transaction. Upon receipt of the Supplemental Terms Notice, Counterparty shall promptly execute and return the Supplemental Terms Notice to BofA;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Counterparty’s failure to so execute and return the Supplemental Terms Notice shall not affect the binding nature of the Supplemental Terms Notice, and the terms set forth therein shall be binding on Counterparty to the same extent, and with the same force and effect, as if Counterparty had executed a written version of the Supplemental Terms Notice.</w:t>
      </w:r>
    </w:p>
    <w:p>
      <w:pPr>
        <w:spacing w:after="0" w:line="172" w:lineRule="exact"/>
        <w:rPr>
          <w:rFonts w:ascii="Arial" w:cs="Arial" w:eastAsia="Arial" w:hAnsi="Arial"/>
          <w:sz w:val="17"/>
          <w:szCs w:val="17"/>
          <w:color w:val="auto"/>
        </w:rPr>
      </w:pPr>
    </w:p>
    <w:p>
      <w:pPr>
        <w:ind w:left="660" w:right="100" w:firstLine="537"/>
        <w:spacing w:after="0" w:line="290" w:lineRule="auto"/>
        <w:tabs>
          <w:tab w:leader="none" w:pos="16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Counterparty and BofA agree and acknowledge that (A) the transactions contemplated by this Confirmation will be entered into in reliance on the fact that this Confirmation and the Supplemental Terms Notice form a single agreement between Counterparty and BofA, and BofA would not otherwise enter into such transactions, (B) this Confirmation, as amended by the Supplemental Terms Notice, is a “qualified financial contract”, as such term is defined in Section 5-701(b)(2) of the General Obligations Law of New York (the “</w:t>
      </w:r>
      <w:r>
        <w:rPr>
          <w:rFonts w:ascii="Arial" w:cs="Arial" w:eastAsia="Arial" w:hAnsi="Arial"/>
          <w:sz w:val="16"/>
          <w:szCs w:val="16"/>
          <w:b w:val="1"/>
          <w:bCs w:val="1"/>
          <w:color w:val="auto"/>
        </w:rPr>
        <w:t>General Obligations Law</w:t>
      </w:r>
      <w:r>
        <w:rPr>
          <w:rFonts w:ascii="Arial" w:cs="Arial" w:eastAsia="Arial" w:hAnsi="Arial"/>
          <w:sz w:val="16"/>
          <w:szCs w:val="16"/>
          <w:color w:val="auto"/>
        </w:rPr>
        <w:t>”); (C) the Supplemental Terms Notice, regardless of whether the Supplemental Terms Notice is transmitted electronically or otherwise, constitutes a “confirmation in writing sufficient to indicate that a contract has been made between the parties” hereto, as set forth in Section 5-701(b)(3)(b) of the General Obligations Law; and (D) this Confirmation constitutes a prior “written contract”, as set forth in Section 5-701(b)(1)(b) of the General Obligations Law, and each party hereto intends and agrees to be bound by this Confirmation, as supplemented by the Supplemental Terms Notice.</w:t>
      </w:r>
    </w:p>
    <w:p>
      <w:pPr>
        <w:spacing w:after="0" w:line="166" w:lineRule="exact"/>
        <w:rPr>
          <w:rFonts w:ascii="Arial" w:cs="Arial" w:eastAsia="Arial" w:hAnsi="Arial"/>
          <w:sz w:val="16"/>
          <w:szCs w:val="16"/>
          <w:color w:val="auto"/>
        </w:rPr>
      </w:pPr>
    </w:p>
    <w:p>
      <w:pPr>
        <w:ind w:left="660" w:right="300" w:firstLine="537"/>
        <w:spacing w:after="0" w:line="342" w:lineRule="auto"/>
        <w:tabs>
          <w:tab w:leader="none" w:pos="1650" w:val="left"/>
        </w:tabs>
        <w:numPr>
          <w:ilvl w:val="1"/>
          <w:numId w:val="81"/>
        </w:numPr>
        <w:rPr>
          <w:rFonts w:ascii="Arial" w:cs="Arial" w:eastAsia="Arial" w:hAnsi="Arial"/>
          <w:sz w:val="16"/>
          <w:szCs w:val="16"/>
          <w:color w:val="auto"/>
        </w:rPr>
      </w:pPr>
      <w:r>
        <w:rPr>
          <w:rFonts w:ascii="Arial" w:cs="Arial" w:eastAsia="Arial" w:hAnsi="Arial"/>
          <w:sz w:val="16"/>
          <w:szCs w:val="16"/>
          <w:color w:val="auto"/>
        </w:rPr>
        <w:t>Counterparty and BofA further agree and acknowledge that this Confirmation, as supplemented by the Supplemental Terms Notice, constitutes a contract “for the sale or purchase of a security”, as set forth in Section 8-113 of the Uniform Commercial Code of New York.</w:t>
      </w:r>
    </w:p>
    <w:p>
      <w:pPr>
        <w:spacing w:after="0" w:line="119" w:lineRule="exact"/>
        <w:rPr>
          <w:rFonts w:ascii="Arial" w:cs="Arial" w:eastAsia="Arial" w:hAnsi="Arial"/>
          <w:sz w:val="16"/>
          <w:szCs w:val="16"/>
          <w:color w:val="auto"/>
        </w:rPr>
      </w:pPr>
    </w:p>
    <w:p>
      <w:pPr>
        <w:ind w:left="1040" w:hanging="384"/>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Waiver of Trial by Jury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EACH OF COUNTERPARTY AND BOFA HEREBY IRREVOCABLY WAIVES (ON ITS OWN BEHALF</w:t>
      </w:r>
    </w:p>
    <w:p>
      <w:pPr>
        <w:spacing w:after="0" w:line="27" w:lineRule="exact"/>
        <w:rPr>
          <w:rFonts w:ascii="Arial" w:cs="Arial" w:eastAsia="Arial" w:hAnsi="Arial"/>
          <w:sz w:val="18"/>
          <w:szCs w:val="18"/>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AND, TO THE EXTENT PERMITTED BY APPLICABLE LAW, ON BEHALF OF ITS STOCKHOLDERS) ALL RIGHT TO TRIAL BY JURY IN ANY ACTION, PROCEEDING OR COUNTERCLAIM (WHETHER BASED ON CONTRACT, TORT OR OTHERWISE) ARISING OUT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46" w:name="page147"/>
    <w:bookmarkEnd w:id="146"/>
    <w:p>
      <w:pPr>
        <w:spacing w:after="0" w:line="282" w:lineRule="auto"/>
        <w:rPr>
          <w:sz w:val="20"/>
          <w:szCs w:val="20"/>
          <w:color w:val="auto"/>
        </w:rPr>
      </w:pPr>
      <w:r>
        <w:rPr>
          <w:rFonts w:ascii="Arial" w:cs="Arial" w:eastAsia="Arial" w:hAnsi="Arial"/>
          <w:sz w:val="18"/>
          <w:szCs w:val="18"/>
          <w:b w:val="1"/>
          <w:bCs w:val="1"/>
          <w:color w:val="auto"/>
        </w:rPr>
        <w:t>OR RELATING TO THE TRANSACTION OR THE ACTIONS OF BOFA OR ITS AFFILIATES IN THE NEGOTIATION, PERFORMANCE OR ENFORCEMENT HEREOF.</w:t>
      </w:r>
    </w:p>
    <w:p>
      <w:pPr>
        <w:spacing w:after="0" w:line="162" w:lineRule="exact"/>
        <w:rPr>
          <w:sz w:val="20"/>
          <w:szCs w:val="20"/>
          <w:color w:val="auto"/>
        </w:rPr>
      </w:pPr>
    </w:p>
    <w:p>
      <w:pPr>
        <w:ind w:left="1020" w:hanging="364"/>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Governing Law; Jurisdiction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CONFIRMATION AND ANY CLAIM, CONTROVERSY OR DISPUTE ARISING UNDER OR</w:t>
      </w:r>
    </w:p>
    <w:p>
      <w:pPr>
        <w:spacing w:after="0" w:line="27" w:lineRule="exact"/>
        <w:rPr>
          <w:rFonts w:ascii="Arial" w:cs="Arial" w:eastAsia="Arial" w:hAnsi="Arial"/>
          <w:sz w:val="18"/>
          <w:szCs w:val="18"/>
          <w:color w:val="auto"/>
        </w:rPr>
      </w:pPr>
    </w:p>
    <w:p>
      <w:pPr>
        <w:ind w:right="6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RELATED TO THIS CONFIRMATION SHALL BE GOVERNED BY THE LAWS OF THE STATE OF 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4" w:right="259" w:bottom="1440" w:gutter="0" w:footer="0" w:header="0"/>
        </w:sectPr>
      </w:pPr>
    </w:p>
    <w:bookmarkStart w:id="147" w:name="page148"/>
    <w:bookmarkEnd w:id="147"/>
    <w:p>
      <w:pPr>
        <w:ind w:firstLine="648"/>
        <w:spacing w:after="0" w:line="324" w:lineRule="auto"/>
        <w:rPr>
          <w:sz w:val="20"/>
          <w:szCs w:val="20"/>
          <w:color w:val="auto"/>
        </w:rPr>
      </w:pPr>
      <w:r>
        <w:rPr>
          <w:rFonts w:ascii="Arial" w:cs="Arial" w:eastAsia="Arial" w:hAnsi="Arial"/>
          <w:sz w:val="18"/>
          <w:szCs w:val="18"/>
          <w:color w:val="auto"/>
        </w:rPr>
        <w:t>Please confirm your agreement to be bound by the terms stated herein by executing the copy of this Confirmation enclosed for that purpose and returning it to us by mail or facsimile transmission to the address for Notices indicated above.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BANK OF AMERICA, N.A.</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Jake Mendelsohn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Jake Mendelsohn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Confirmed as of the date first above written: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QORVO, INC.</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 Clancy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Robert G. Clancy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Vice President and Treasurer</w:t>
      </w:r>
    </w:p>
    <w:p>
      <w:pPr>
        <w:sectPr>
          <w:pgSz w:w="11900" w:h="16838" w:orient="portrait"/>
          <w:cols w:equalWidth="0" w:num="1">
            <w:col w:w="11000"/>
          </w:cols>
          <w:pgMar w:left="240" w:top="652" w:right="65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TERMS NOTICE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To:</w:t>
            </w: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w w:val="97"/>
              </w:rPr>
              <w:t>Qorvo, Inc.</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3200" w:type="dxa"/>
            <w:vAlign w:val="bottom"/>
            <w:gridSpan w:val="4"/>
          </w:tcPr>
          <w:p>
            <w:pPr>
              <w:ind w:left="340"/>
              <w:spacing w:after="0"/>
              <w:rPr>
                <w:sz w:val="20"/>
                <w:szCs w:val="20"/>
                <w:color w:val="auto"/>
              </w:rPr>
            </w:pPr>
            <w:r>
              <w:rPr>
                <w:rFonts w:ascii="Arial" w:cs="Arial" w:eastAsia="Arial" w:hAnsi="Arial"/>
                <w:sz w:val="18"/>
                <w:szCs w:val="18"/>
                <w:color w:val="auto"/>
              </w:rPr>
              <w:t>7628 Thorndike Road</w:t>
            </w:r>
          </w:p>
        </w:tc>
      </w:tr>
      <w:tr>
        <w:trPr>
          <w:trHeight w:val="216"/>
        </w:trPr>
        <w:tc>
          <w:tcPr>
            <w:tcW w:w="960" w:type="dxa"/>
            <w:vAlign w:val="bottom"/>
          </w:tcPr>
          <w:p>
            <w:pPr>
              <w:spacing w:after="0"/>
              <w:rPr>
                <w:sz w:val="18"/>
                <w:szCs w:val="18"/>
                <w:color w:val="auto"/>
              </w:rPr>
            </w:pPr>
          </w:p>
        </w:tc>
        <w:tc>
          <w:tcPr>
            <w:tcW w:w="3200" w:type="dxa"/>
            <w:vAlign w:val="bottom"/>
            <w:gridSpan w:val="4"/>
          </w:tcPr>
          <w:p>
            <w:pPr>
              <w:ind w:left="340"/>
              <w:spacing w:after="0"/>
              <w:rPr>
                <w:sz w:val="20"/>
                <w:szCs w:val="20"/>
                <w:color w:val="auto"/>
              </w:rPr>
            </w:pPr>
            <w:r>
              <w:rPr>
                <w:rFonts w:ascii="Arial" w:cs="Arial" w:eastAsia="Arial" w:hAnsi="Arial"/>
                <w:sz w:val="18"/>
                <w:szCs w:val="18"/>
                <w:color w:val="auto"/>
              </w:rPr>
              <w:t>Greensboro, NC 27409</w:t>
            </w:r>
          </w:p>
        </w:tc>
      </w:tr>
      <w:tr>
        <w:trPr>
          <w:trHeight w:val="216"/>
        </w:trPr>
        <w:tc>
          <w:tcPr>
            <w:tcW w:w="96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Attn:</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w w:val="95"/>
              </w:rPr>
              <w:t>Telephone: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490"/>
              <w:spacing w:after="0"/>
              <w:rPr>
                <w:sz w:val="20"/>
                <w:szCs w:val="20"/>
                <w:color w:val="auto"/>
              </w:rPr>
            </w:pPr>
            <w:r>
              <w:rPr>
                <w:rFonts w:ascii="Arial" w:cs="Arial" w:eastAsia="Arial" w:hAnsi="Arial"/>
                <w:sz w:val="18"/>
                <w:szCs w:val="18"/>
                <w:color w:val="auto"/>
              </w:rPr>
              <w:t>]</w:t>
            </w:r>
          </w:p>
        </w:tc>
      </w:tr>
      <w:tr>
        <w:trPr>
          <w:trHeight w:val="230"/>
        </w:trPr>
        <w:tc>
          <w:tcPr>
            <w:tcW w:w="960" w:type="dxa"/>
            <w:vAlign w:val="bottom"/>
          </w:tcPr>
          <w:p>
            <w:pPr>
              <w:spacing w:after="0"/>
              <w:rPr>
                <w:sz w:val="20"/>
                <w:szCs w:val="20"/>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Facsimile: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30"/>
              <w:spacing w:after="0"/>
              <w:rPr>
                <w:sz w:val="20"/>
                <w:szCs w:val="20"/>
                <w:color w:val="auto"/>
              </w:rPr>
            </w:pPr>
            <w:r>
              <w:rPr>
                <w:rFonts w:ascii="Arial" w:cs="Arial" w:eastAsia="Arial" w:hAnsi="Arial"/>
                <w:sz w:val="18"/>
                <w:szCs w:val="18"/>
                <w:color w:val="auto"/>
              </w:rPr>
              <w: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From:</w:t>
            </w:r>
          </w:p>
        </w:tc>
        <w:tc>
          <w:tcPr>
            <w:tcW w:w="3200" w:type="dxa"/>
            <w:vAlign w:val="bottom"/>
            <w:gridSpan w:val="4"/>
          </w:tcPr>
          <w:p>
            <w:pPr>
              <w:ind w:left="340"/>
              <w:spacing w:after="0"/>
              <w:rPr>
                <w:sz w:val="20"/>
                <w:szCs w:val="20"/>
                <w:color w:val="auto"/>
              </w:rPr>
            </w:pPr>
            <w:r>
              <w:rPr>
                <w:rFonts w:ascii="Arial" w:cs="Arial" w:eastAsia="Arial" w:hAnsi="Arial"/>
                <w:sz w:val="18"/>
                <w:szCs w:val="18"/>
                <w:color w:val="auto"/>
              </w:rPr>
              <w:t>Bank of America, N.A.</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Subject:</w:t>
            </w:r>
          </w:p>
        </w:tc>
        <w:tc>
          <w:tcPr>
            <w:tcW w:w="3200" w:type="dxa"/>
            <w:vAlign w:val="bottom"/>
            <w:gridSpan w:val="4"/>
          </w:tcPr>
          <w:p>
            <w:pPr>
              <w:ind w:left="340"/>
              <w:spacing w:after="0"/>
              <w:rPr>
                <w:sz w:val="20"/>
                <w:szCs w:val="20"/>
                <w:color w:val="auto"/>
              </w:rPr>
            </w:pPr>
            <w:r>
              <w:rPr>
                <w:rFonts w:ascii="Arial" w:cs="Arial" w:eastAsia="Arial" w:hAnsi="Arial"/>
                <w:sz w:val="18"/>
                <w:szCs w:val="18"/>
                <w:color w:val="auto"/>
                <w:w w:val="88"/>
              </w:rPr>
              <w:t>Issuer Forward Repurchase Transaction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Ref. No:</w:t>
            </w: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w w:val="95"/>
              </w:rPr>
              <w:t>168545133</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[_______]</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this Supplemental Terms Notice is to notify you of certain terms of the Transaction dated February 16, 2016 between Bank of America, N.A. (“</w:t>
      </w:r>
      <w:r>
        <w:rPr>
          <w:rFonts w:ascii="Arial" w:cs="Arial" w:eastAsia="Arial" w:hAnsi="Arial"/>
          <w:sz w:val="18"/>
          <w:szCs w:val="18"/>
          <w:b w:val="1"/>
          <w:bCs w:val="1"/>
          <w:color w:val="auto"/>
        </w:rPr>
        <w:t>BofA</w:t>
      </w:r>
      <w:r>
        <w:rPr>
          <w:rFonts w:ascii="Arial" w:cs="Arial" w:eastAsia="Arial" w:hAnsi="Arial"/>
          <w:sz w:val="18"/>
          <w:szCs w:val="18"/>
          <w:color w:val="auto"/>
        </w:rPr>
        <w:t>”) and Qorvo, Inc. (“</w:t>
      </w:r>
      <w:r>
        <w:rPr>
          <w:rFonts w:ascii="Arial" w:cs="Arial" w:eastAsia="Arial" w:hAnsi="Arial"/>
          <w:sz w:val="18"/>
          <w:szCs w:val="18"/>
          <w:b w:val="1"/>
          <w:bCs w:val="1"/>
          <w:color w:val="auto"/>
        </w:rPr>
        <w:t>Counterparty</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definitions and provisions contained in the Confirmation dated as of February 16, 2016 between BofA and Counterparty (the “</w:t>
      </w:r>
      <w:r>
        <w:rPr>
          <w:rFonts w:ascii="Arial" w:cs="Arial" w:eastAsia="Arial" w:hAnsi="Arial"/>
          <w:sz w:val="18"/>
          <w:szCs w:val="18"/>
          <w:b w:val="1"/>
          <w:bCs w:val="1"/>
          <w:color w:val="auto"/>
        </w:rPr>
        <w:t>Confirmation</w:t>
      </w:r>
      <w:r>
        <w:rPr>
          <w:rFonts w:ascii="Arial" w:cs="Arial" w:eastAsia="Arial" w:hAnsi="Arial"/>
          <w:sz w:val="18"/>
          <w:szCs w:val="18"/>
          <w:color w:val="auto"/>
        </w:rPr>
        <w:t>”) are incorporated into this Supplemental Terms Notice. In the event of any inconsistency between those definitions and provisions and this Supplemental Terms Notice, this Supplemental Terms Notice will govern.</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terms of the Transaction to which this Supplemental Terms Notice relates are as follows:</w:t>
      </w:r>
    </w:p>
    <w:p>
      <w:pPr>
        <w:sectPr>
          <w:pgSz w:w="11900" w:h="16838" w:orient="portrait"/>
          <w:cols w:equalWidth="0" w:num="1">
            <w:col w:w="11420"/>
          </w:cols>
          <w:pgMar w:left="240" w:top="621" w:right="2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Initial Period End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 2016</w:t>
      </w:r>
    </w:p>
    <w:p>
      <w:pPr>
        <w:spacing w:after="0" w:line="140" w:lineRule="exact"/>
        <w:rPr>
          <w:sz w:val="20"/>
          <w:szCs w:val="20"/>
          <w:color w:val="auto"/>
        </w:rPr>
      </w:pPr>
    </w:p>
    <w:p>
      <w:pPr>
        <w:sectPr>
          <w:pgSz w:w="11900" w:h="16838" w:orient="portrait"/>
          <w:cols w:equalWidth="0" w:num="2">
            <w:col w:w="3020" w:space="560"/>
            <w:col w:w="7840"/>
          </w:cols>
          <w:pgMar w:left="240" w:top="621" w:right="2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Minimum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[__________] [a number of Shares equal to (a) the Prepayment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Cap Price]</w:t>
      </w:r>
    </w:p>
    <w:p>
      <w:pPr>
        <w:spacing w:after="0" w:line="140" w:lineRule="exact"/>
        <w:rPr>
          <w:sz w:val="20"/>
          <w:szCs w:val="20"/>
          <w:color w:val="auto"/>
        </w:rPr>
      </w:pPr>
    </w:p>
    <w:p>
      <w:pPr>
        <w:sectPr>
          <w:pgSz w:w="11900" w:h="16838" w:orient="portrait"/>
          <w:cols w:equalWidth="0" w:num="2">
            <w:col w:w="2860" w:space="720"/>
            <w:col w:w="7840"/>
          </w:cols>
          <w:pgMar w:left="240" w:top="621" w:right="239" w:bottom="1440" w:gutter="0" w:footer="0" w:header="0"/>
          <w:type w:val="continuous"/>
        </w:sectPr>
      </w:pPr>
    </w:p>
    <w:p>
      <w:pPr>
        <w:jc w:val="center"/>
        <w:ind w:left="640"/>
        <w:spacing w:after="0"/>
        <w:rPr>
          <w:sz w:val="20"/>
          <w:szCs w:val="20"/>
          <w:color w:val="auto"/>
        </w:rPr>
      </w:pPr>
      <w:r>
        <w:rPr>
          <w:rFonts w:ascii="Arial" w:cs="Arial" w:eastAsia="Arial" w:hAnsi="Arial"/>
          <w:sz w:val="17"/>
          <w:szCs w:val="17"/>
          <w:color w:val="auto"/>
        </w:rPr>
        <w:t>Initial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USD[____] per Share [the arithmetic average of the VWAP Prices for all Initial Period Averaging Dates]</w:t>
      </w:r>
    </w:p>
    <w:p>
      <w:pPr>
        <w:spacing w:after="0" w:line="140" w:lineRule="exact"/>
        <w:rPr>
          <w:sz w:val="20"/>
          <w:szCs w:val="20"/>
          <w:color w:val="auto"/>
        </w:rPr>
      </w:pPr>
    </w:p>
    <w:p>
      <w:pPr>
        <w:sectPr>
          <w:pgSz w:w="11900" w:h="16838" w:orient="portrait"/>
          <w:cols w:equalWidth="0" w:num="2">
            <w:col w:w="2860" w:space="720"/>
            <w:col w:w="7840"/>
          </w:cols>
          <w:pgMar w:left="240" w:top="621" w:right="239" w:bottom="1440" w:gutter="0" w:footer="0" w:header="0"/>
          <w:type w:val="continuous"/>
        </w:sectPr>
      </w:pPr>
    </w:p>
    <w:p>
      <w:pPr>
        <w:jc w:val="center"/>
        <w:ind w:left="600"/>
        <w:spacing w:after="0"/>
        <w:rPr>
          <w:sz w:val="20"/>
          <w:szCs w:val="20"/>
          <w:color w:val="auto"/>
        </w:rPr>
      </w:pPr>
      <w:r>
        <w:rPr>
          <w:rFonts w:ascii="Arial" w:cs="Arial" w:eastAsia="Arial" w:hAnsi="Arial"/>
          <w:sz w:val="16"/>
          <w:szCs w:val="16"/>
          <w:color w:val="auto"/>
        </w:rPr>
        <w:t>Floor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USD[____] [the product of [*****]% and the Initial Price]</w:t>
      </w:r>
    </w:p>
    <w:p>
      <w:pPr>
        <w:spacing w:after="0" w:line="129" w:lineRule="exact"/>
        <w:rPr>
          <w:sz w:val="20"/>
          <w:szCs w:val="20"/>
          <w:color w:val="auto"/>
        </w:rPr>
      </w:pPr>
    </w:p>
    <w:p>
      <w:pPr>
        <w:sectPr>
          <w:pgSz w:w="11900" w:h="16838" w:orient="portrait"/>
          <w:cols w:equalWidth="0" w:num="2">
            <w:col w:w="2860" w:space="720"/>
            <w:col w:w="7840"/>
          </w:cols>
          <w:pgMar w:left="240" w:top="621" w:right="2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Cap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USD[____] [the product of [*****]% and the Initial Price]</w:t>
      </w:r>
    </w:p>
    <w:p>
      <w:pPr>
        <w:sectPr>
          <w:pgSz w:w="11900" w:h="16838" w:orient="portrait"/>
          <w:cols w:equalWidth="0" w:num="2">
            <w:col w:w="2860" w:space="720"/>
            <w:col w:w="7840"/>
          </w:cols>
          <w:pgMar w:left="240" w:top="621" w:right="239" w:bottom="1440" w:gutter="0" w:footer="0" w:header="0"/>
          <w:type w:val="continuous"/>
        </w:sectPr>
      </w:pPr>
    </w:p>
    <w:bookmarkStart w:id="149" w:name="page150"/>
    <w:bookmarkEnd w:id="149"/>
    <w:p>
      <w:pPr>
        <w:ind w:left="388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BANK OF AMERICA, N.A.</w:t>
      </w:r>
    </w:p>
    <w:p>
      <w:pPr>
        <w:spacing w:after="0" w:line="200" w:lineRule="exact"/>
        <w:rPr>
          <w:sz w:val="20"/>
          <w:szCs w:val="20"/>
          <w:color w:val="auto"/>
        </w:rPr>
      </w:pPr>
    </w:p>
    <w:p>
      <w:pPr>
        <w:spacing w:after="0" w:line="295"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By: _______________________________</w:t>
      </w:r>
    </w:p>
    <w:p>
      <w:pPr>
        <w:spacing w:after="0" w:line="4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Receipt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59"/>
          </w:cols>
          <w:pgMar w:left="900" w:top="1057"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ANNEX A</w:t>
      </w:r>
    </w:p>
    <w:p>
      <w:pPr>
        <w:spacing w:after="0" w:line="18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COUNTERPARTY SETTLEMENT PROVISIONS</w:t>
      </w:r>
    </w:p>
    <w:p>
      <w:pPr>
        <w:spacing w:after="0" w:line="185"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following Counterparty Settlement Provisions shall apply to the extent indicated under the Confirmation:</w:t>
      </w:r>
    </w:p>
    <w:p>
      <w:pPr>
        <w:sectPr>
          <w:pgSz w:w="11900" w:h="16838" w:orient="portrait"/>
          <w:cols w:equalWidth="0" w:num="1">
            <w:col w:w="11120"/>
          </w:cols>
          <w:pgMar w:left="540" w:top="6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Settlement Currency: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USD</w:t>
      </w:r>
    </w:p>
    <w:p>
      <w:pPr>
        <w:spacing w:after="0" w:line="200" w:lineRule="exact"/>
        <w:rPr>
          <w:sz w:val="20"/>
          <w:szCs w:val="20"/>
          <w:color w:val="auto"/>
        </w:rPr>
      </w:pPr>
    </w:p>
    <w:p>
      <w:pPr>
        <w:sectPr>
          <w:pgSz w:w="11900" w:h="16838" w:orient="portrait"/>
          <w:cols w:equalWidth="0" w:num="2">
            <w:col w:w="1580" w:space="720"/>
            <w:col w:w="8820"/>
          </w:cols>
          <w:pgMar w:left="540" w:top="6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Settlement Method Election: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Section 7.1 of the Equity Definitions is hereby amended by deleting the word “Physical” in the sixth line thereof and replacing it with the words “Net Share” and (ii) the Electing Party may make a settlement method election only if the Electing Party represents and warrants to BofA in writing on the date it notifies BofA of its election that, as of such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95" w:lineRule="exact"/>
        <w:rPr>
          <w:sz w:val="20"/>
          <w:szCs w:val="20"/>
          <w:color w:val="auto"/>
        </w:rPr>
      </w:pPr>
    </w:p>
    <w:p>
      <w:pPr>
        <w:sectPr>
          <w:pgSz w:w="11900" w:h="16838" w:orient="portrait"/>
          <w:cols w:equalWidth="0" w:num="2">
            <w:col w:w="2060" w:space="240"/>
            <w:col w:w="8820"/>
          </w:cols>
          <w:pgMar w:left="540" w:top="6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Electing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838" w:orient="portrait"/>
          <w:cols w:equalWidth="0" w:num="2">
            <w:col w:w="1580" w:space="720"/>
            <w:col w:w="8820"/>
          </w:cols>
          <w:pgMar w:left="540" w:top="621" w:right="239" w:bottom="1440" w:gutter="0" w:footer="0" w:header="0"/>
          <w:type w:val="continuous"/>
        </w:sectPr>
      </w:pPr>
    </w:p>
    <w:p>
      <w:pPr>
        <w:spacing w:after="0" w:line="48" w:lineRule="exact"/>
        <w:rPr>
          <w:sz w:val="20"/>
          <w:szCs w:val="20"/>
          <w:color w:val="auto"/>
        </w:rPr>
      </w:pPr>
    </w:p>
    <w:p>
      <w:pPr>
        <w:ind w:right="220" w:hanging="13"/>
        <w:spacing w:after="0" w:line="342" w:lineRule="auto"/>
        <w:rPr>
          <w:sz w:val="20"/>
          <w:szCs w:val="20"/>
          <w:color w:val="auto"/>
        </w:rPr>
      </w:pPr>
      <w:r>
        <w:rPr>
          <w:rFonts w:ascii="Arial" w:cs="Arial" w:eastAsia="Arial" w:hAnsi="Arial"/>
          <w:sz w:val="16"/>
          <w:szCs w:val="16"/>
          <w:color w:val="auto"/>
        </w:rPr>
        <w:t>Settlement Method Election Date: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date that is the earlier of (i) 3 Exchange Business Days prior to the Scheduled Final Averaging Date and (ii) the second Exchange Business Day immediately following the Valuation Date.</w:t>
      </w:r>
    </w:p>
    <w:p>
      <w:pPr>
        <w:spacing w:after="0" w:line="170" w:lineRule="exact"/>
        <w:rPr>
          <w:sz w:val="20"/>
          <w:szCs w:val="20"/>
          <w:color w:val="auto"/>
        </w:rPr>
      </w:pPr>
    </w:p>
    <w:p>
      <w:pPr>
        <w:sectPr>
          <w:pgSz w:w="11900" w:h="16838" w:orient="portrait"/>
          <w:cols w:equalWidth="0" w:num="2">
            <w:col w:w="1580" w:space="720"/>
            <w:col w:w="8820"/>
          </w:cols>
          <w:pgMar w:left="540" w:top="6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 Share Settlement</w:t>
      </w:r>
    </w:p>
    <w:p>
      <w:pPr>
        <w:spacing w:after="0" w:line="200" w:lineRule="exact"/>
        <w:rPr>
          <w:sz w:val="20"/>
          <w:szCs w:val="20"/>
          <w:color w:val="auto"/>
        </w:rPr>
      </w:pPr>
    </w:p>
    <w:p>
      <w:pPr>
        <w:sectPr>
          <w:pgSz w:w="11900" w:h="16838" w:orient="portrait"/>
          <w:cols w:equalWidth="0" w:num="2">
            <w:col w:w="2000" w:space="300"/>
            <w:col w:w="8820"/>
          </w:cols>
          <w:pgMar w:left="540" w:top="6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Special Settlement: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Either (i) a settlement to which this Annex A applies that follows the occurrence of a Transaction Announcement to which Section 9 of this Confirmation applies or (ii) any settlement to which paragraphs 2 through 5 of this Annex A apply that follows a termination or cancellation of the Transaction pursuant to Section 6 of the Agreement or Article 12 of the Equity Definitions to which Section 10(a) of this Confirmation applies.</w:t>
      </w:r>
    </w:p>
    <w:p>
      <w:pPr>
        <w:spacing w:after="0" w:line="171" w:lineRule="exact"/>
        <w:rPr>
          <w:sz w:val="20"/>
          <w:szCs w:val="20"/>
          <w:color w:val="auto"/>
        </w:rPr>
      </w:pPr>
    </w:p>
    <w:p>
      <w:pPr>
        <w:sectPr>
          <w:pgSz w:w="11900" w:h="16838" w:orient="portrait"/>
          <w:cols w:equalWidth="0" w:num="2">
            <w:col w:w="1580" w:space="720"/>
            <w:col w:w="8820"/>
          </w:cols>
          <w:pgMar w:left="540" w:top="621" w:right="239" w:bottom="1440" w:gutter="0" w:footer="0" w:header="0"/>
          <w:type w:val="continuous"/>
        </w:sectPr>
      </w:pPr>
    </w:p>
    <w:p>
      <w:pPr>
        <w:ind w:hanging="13"/>
        <w:spacing w:after="0" w:line="277" w:lineRule="auto"/>
        <w:rPr>
          <w:sz w:val="20"/>
          <w:szCs w:val="20"/>
          <w:color w:val="auto"/>
        </w:rPr>
      </w:pPr>
      <w:r>
        <w:rPr>
          <w:rFonts w:ascii="Arial" w:cs="Arial" w:eastAsia="Arial" w:hAnsi="Arial"/>
          <w:sz w:val="18"/>
          <w:szCs w:val="18"/>
          <w:color w:val="auto"/>
        </w:rPr>
        <w:t>Forward Cash Settlement Amount: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Number of Shares to be Delivered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Settlement Valuation Price.</w:t>
      </w:r>
    </w:p>
    <w:p>
      <w:pPr>
        <w:spacing w:after="0" w:line="247" w:lineRule="exact"/>
        <w:rPr>
          <w:sz w:val="20"/>
          <w:szCs w:val="20"/>
          <w:color w:val="auto"/>
        </w:rPr>
      </w:pPr>
    </w:p>
    <w:p>
      <w:pPr>
        <w:sectPr>
          <w:pgSz w:w="11900" w:h="16838" w:orient="portrait"/>
          <w:cols w:equalWidth="0" w:num="2">
            <w:col w:w="1820" w:space="480"/>
            <w:col w:w="8820"/>
          </w:cols>
          <w:pgMar w:left="540" w:top="6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Valuation Price: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arithmetic average of the VWAP Prices for all Settlement Valuation Dates, subject to Averaging Date Disruption, determined as if each Settlement Valuation Date were an Averaging Date (with Averaging Date Disruption applying as if the last Settlement Valuation Date were the Final Averaging Date and the Settlement Valuation Price were the Settlement Price).</w:t>
      </w:r>
    </w:p>
    <w:p>
      <w:pPr>
        <w:spacing w:after="0" w:line="187" w:lineRule="exact"/>
        <w:rPr>
          <w:sz w:val="20"/>
          <w:szCs w:val="20"/>
          <w:color w:val="auto"/>
        </w:rPr>
      </w:pPr>
    </w:p>
    <w:p>
      <w:pPr>
        <w:sectPr>
          <w:pgSz w:w="11900" w:h="16838" w:orient="portrait"/>
          <w:cols w:equalWidth="0" w:num="2">
            <w:col w:w="1960" w:space="340"/>
            <w:col w:w="8820"/>
          </w:cols>
          <w:pgMar w:left="540" w:top="6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Valuation Dates:</w:t>
      </w:r>
    </w:p>
    <w:p>
      <w:pPr>
        <w:spacing w:after="0" w:line="20" w:lineRule="exact"/>
        <w:rPr>
          <w:sz w:val="20"/>
          <w:szCs w:val="20"/>
          <w:color w:val="auto"/>
        </w:rPr>
      </w:pPr>
      <w:r>
        <w:rPr>
          <w:sz w:val="20"/>
          <w:szCs w:val="20"/>
          <w:color w:val="auto"/>
        </w:rPr>
        <w:br w:type="column"/>
      </w:r>
    </w:p>
    <w:p>
      <w:pPr>
        <w:spacing w:after="0" w:line="308" w:lineRule="auto"/>
        <w:rPr>
          <w:sz w:val="20"/>
          <w:szCs w:val="20"/>
          <w:color w:val="auto"/>
        </w:rPr>
      </w:pPr>
      <w:r>
        <w:rPr>
          <w:rFonts w:ascii="Arial" w:cs="Arial" w:eastAsia="Arial" w:hAnsi="Arial"/>
          <w:sz w:val="17"/>
          <w:szCs w:val="17"/>
          <w:color w:val="auto"/>
        </w:rPr>
        <w:t>A number of Scheduled Trading Days selected by BofA in its reasonable discretion, beginning on the Scheduled Trading Day immediately following the later of the Settlement Method Election Date and the Final Averaging Date.</w:t>
      </w:r>
    </w:p>
    <w:p>
      <w:pPr>
        <w:spacing w:after="0" w:line="174" w:lineRule="exact"/>
        <w:rPr>
          <w:sz w:val="20"/>
          <w:szCs w:val="20"/>
          <w:color w:val="auto"/>
        </w:rPr>
      </w:pPr>
    </w:p>
    <w:p>
      <w:pPr>
        <w:sectPr>
          <w:pgSz w:w="11900" w:h="16838" w:orient="portrait"/>
          <w:cols w:equalWidth="0" w:num="2">
            <w:col w:w="2000" w:space="300"/>
            <w:col w:w="8820"/>
          </w:cols>
          <w:pgMar w:left="540" w:top="621" w:right="239" w:bottom="1440" w:gutter="0" w:footer="0" w:header="0"/>
          <w:type w:val="continuous"/>
        </w:sectPr>
      </w:pPr>
    </w:p>
    <w:p>
      <w:pPr>
        <w:jc w:val="center"/>
        <w:ind w:right="28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120"/>
          </w:cols>
          <w:pgMar w:left="540" w:top="621" w:right="239" w:bottom="1440" w:gutter="0" w:footer="0" w:header="0"/>
          <w:type w:val="continuous"/>
        </w:sectPr>
      </w:pPr>
    </w:p>
    <w:bookmarkStart w:id="151" w:name="page152"/>
    <w:bookmarkEnd w:id="151"/>
    <w:p>
      <w:pPr>
        <w:ind w:left="300"/>
        <w:spacing w:after="0"/>
        <w:rPr>
          <w:sz w:val="20"/>
          <w:szCs w:val="20"/>
          <w:color w:val="auto"/>
        </w:rPr>
      </w:pPr>
      <w:r>
        <w:rPr>
          <w:rFonts w:ascii="Arial" w:cs="Arial" w:eastAsia="Arial" w:hAnsi="Arial"/>
          <w:sz w:val="15"/>
          <w:szCs w:val="15"/>
          <w:color w:val="auto"/>
        </w:rPr>
        <w:t>Cash Settlement: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If Cash Settlement is applicable, then Counterparty shall pay to BofA the absolute value of the Forward Cash Settlement Amount on the Cash Settlement Payment Date.</w:t>
      </w:r>
    </w:p>
    <w:p>
      <w:pPr>
        <w:spacing w:after="0" w:line="170" w:lineRule="exact"/>
        <w:rPr>
          <w:sz w:val="20"/>
          <w:szCs w:val="20"/>
          <w:color w:val="auto"/>
        </w:rPr>
      </w:pPr>
    </w:p>
    <w:p>
      <w:pPr>
        <w:sectPr>
          <w:pgSz w:w="11900" w:h="16838" w:orient="portrait"/>
          <w:cols w:equalWidth="0" w:num="2">
            <w:col w:w="1880" w:space="720"/>
            <w:col w:w="8820"/>
          </w:cols>
          <w:pgMar w:left="240" w:top="841" w:right="239" w:bottom="1440" w:gutter="0" w:footer="0" w:header="0"/>
        </w:sectPr>
      </w:pPr>
    </w:p>
    <w:p>
      <w:pPr>
        <w:ind w:left="300"/>
        <w:spacing w:after="0"/>
        <w:rPr>
          <w:sz w:val="20"/>
          <w:szCs w:val="20"/>
          <w:color w:val="auto"/>
        </w:rPr>
      </w:pPr>
      <w:r>
        <w:rPr>
          <w:rFonts w:ascii="Arial" w:cs="Arial" w:eastAsia="Arial" w:hAnsi="Arial"/>
          <w:sz w:val="15"/>
          <w:szCs w:val="15"/>
          <w:color w:val="auto"/>
        </w:rPr>
        <w:t>Cash Settlement</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Payment Date: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date one Settlement Cycle following the last Settlement Valuation Date.</w:t>
      </w:r>
    </w:p>
    <w:p>
      <w:pPr>
        <w:spacing w:after="0" w:line="225" w:lineRule="exact"/>
        <w:rPr>
          <w:sz w:val="20"/>
          <w:szCs w:val="20"/>
          <w:color w:val="auto"/>
        </w:rPr>
      </w:pPr>
    </w:p>
    <w:p>
      <w:pPr>
        <w:sectPr>
          <w:pgSz w:w="11900" w:h="16838" w:orient="portrait"/>
          <w:cols w:equalWidth="0" w:num="2">
            <w:col w:w="1880" w:space="720"/>
            <w:col w:w="8820"/>
          </w:cols>
          <w:pgMar w:left="240" w:top="841" w:right="239" w:bottom="1440" w:gutter="0" w:footer="0" w:header="0"/>
          <w:type w:val="continuous"/>
        </w:sectPr>
      </w:pPr>
    </w:p>
    <w:p>
      <w:pPr>
        <w:spacing w:after="0" w:line="22" w:lineRule="exact"/>
        <w:rPr>
          <w:sz w:val="20"/>
          <w:szCs w:val="20"/>
          <w:color w:val="auto"/>
        </w:rPr>
      </w:pPr>
    </w:p>
    <w:p>
      <w:pPr>
        <w:ind w:left="300" w:right="40"/>
        <w:spacing w:after="0" w:line="342" w:lineRule="auto"/>
        <w:rPr>
          <w:sz w:val="20"/>
          <w:szCs w:val="20"/>
          <w:color w:val="auto"/>
        </w:rPr>
      </w:pPr>
      <w:r>
        <w:rPr>
          <w:rFonts w:ascii="Arial" w:cs="Arial" w:eastAsia="Arial" w:hAnsi="Arial"/>
          <w:sz w:val="16"/>
          <w:szCs w:val="16"/>
          <w:color w:val="auto"/>
        </w:rPr>
        <w:t>Net Share Settlement Procedures: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Net Share Settlement is applicable, Net Share Settlement shall be made in accordance with paragraphs 2 through 5 below.</w:t>
      </w:r>
    </w:p>
    <w:p>
      <w:pPr>
        <w:spacing w:after="0" w:line="130" w:lineRule="exact"/>
        <w:rPr>
          <w:sz w:val="20"/>
          <w:szCs w:val="20"/>
          <w:color w:val="auto"/>
        </w:rPr>
      </w:pPr>
    </w:p>
    <w:p>
      <w:pPr>
        <w:sectPr>
          <w:pgSz w:w="11900" w:h="16838" w:orient="portrait"/>
          <w:cols w:equalWidth="0" w:num="2">
            <w:col w:w="1880" w:space="720"/>
            <w:col w:w="8820"/>
          </w:cols>
          <w:pgMar w:left="240" w:top="841" w:right="239" w:bottom="1440" w:gutter="0" w:footer="0" w:header="0"/>
          <w:type w:val="continuous"/>
        </w:sectPr>
      </w:pPr>
    </w:p>
    <w:p>
      <w:pPr>
        <w:jc w:val="both"/>
        <w:ind w:firstLine="656"/>
        <w:spacing w:after="0" w:line="271" w:lineRule="auto"/>
        <w:tabs>
          <w:tab w:leader="none" w:pos="963"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Net Share Settlement shall be made by delivery on the Settlement Date of a number of Shares equal to the product of (i) the absolute value of the Number of Shares to be Delivered and (ii) 100%, </w:t>
      </w:r>
      <w:r>
        <w:rPr>
          <w:rFonts w:ascii="Arial" w:cs="Arial" w:eastAsia="Arial" w:hAnsi="Arial"/>
          <w:sz w:val="17"/>
          <w:szCs w:val="17"/>
          <w:i w:val="1"/>
          <w:iCs w:val="1"/>
          <w:color w:val="auto"/>
        </w:rPr>
        <w:t>plus</w:t>
      </w:r>
      <w:r>
        <w:rPr>
          <w:rFonts w:ascii="Arial" w:cs="Arial" w:eastAsia="Arial" w:hAnsi="Arial"/>
          <w:sz w:val="17"/>
          <w:szCs w:val="17"/>
          <w:color w:val="auto"/>
        </w:rPr>
        <w:t xml:space="preserve"> a commercially reasonable amount determined by BofA to account for the fact that such Shares will not be registered for resale;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Special Settlement, Net Share Settlement shall be made (i) by delivery on the Cash Settlement Payment Date (such date, the “</w:t>
      </w:r>
      <w:r>
        <w:rPr>
          <w:rFonts w:ascii="Arial" w:cs="Arial" w:eastAsia="Arial" w:hAnsi="Arial"/>
          <w:sz w:val="17"/>
          <w:szCs w:val="17"/>
          <w:b w:val="1"/>
          <w:bCs w:val="1"/>
          <w:color w:val="auto"/>
        </w:rPr>
        <w:t>Net Share Settlement Date</w:t>
      </w:r>
      <w:r>
        <w:rPr>
          <w:rFonts w:ascii="Arial" w:cs="Arial" w:eastAsia="Arial" w:hAnsi="Arial"/>
          <w:sz w:val="17"/>
          <w:szCs w:val="17"/>
          <w:color w:val="auto"/>
        </w:rPr>
        <w:t>”) of a number of Shares (the “</w:t>
      </w:r>
      <w:r>
        <w:rPr>
          <w:rFonts w:ascii="Arial" w:cs="Arial" w:eastAsia="Arial" w:hAnsi="Arial"/>
          <w:sz w:val="17"/>
          <w:szCs w:val="17"/>
          <w:b w:val="1"/>
          <w:bCs w:val="1"/>
          <w:color w:val="auto"/>
        </w:rPr>
        <w:t>Restricted Payment Shares</w:t>
      </w:r>
      <w:r>
        <w:rPr>
          <w:rFonts w:ascii="Arial" w:cs="Arial" w:eastAsia="Arial" w:hAnsi="Arial"/>
          <w:sz w:val="17"/>
          <w:szCs w:val="17"/>
          <w:color w:val="auto"/>
        </w:rPr>
        <w:t>”) with a value equal to the absolute value of the Forward Cash Settlement Amount, with such Shares’ value based on the realizable market value thereof to BofA (which value shall take into account an illiquidity discount resulting from the fact that the Restricted Payment Shares will not be registered for resale), as determined in a commercially reasonable manner by the Calculation Agent (the “</w:t>
      </w:r>
      <w:r>
        <w:rPr>
          <w:rFonts w:ascii="Arial" w:cs="Arial" w:eastAsia="Arial" w:hAnsi="Arial"/>
          <w:sz w:val="17"/>
          <w:szCs w:val="17"/>
          <w:b w:val="1"/>
          <w:bCs w:val="1"/>
          <w:color w:val="auto"/>
        </w:rPr>
        <w:t>Restricted Share Value</w:t>
      </w:r>
      <w:r>
        <w:rPr>
          <w:rFonts w:ascii="Arial" w:cs="Arial" w:eastAsia="Arial" w:hAnsi="Arial"/>
          <w:sz w:val="17"/>
          <w:szCs w:val="17"/>
          <w:color w:val="auto"/>
        </w:rPr>
        <w:t>”), and paragraph 3 of this Annex A shall apply to such Restricted Payment Shares, and (ii) by delivery of the Make-Whole Payment Shares as described in paragraph 4 below.</w:t>
      </w:r>
    </w:p>
    <w:p>
      <w:pPr>
        <w:spacing w:after="0" w:line="341" w:lineRule="exact"/>
        <w:rPr>
          <w:rFonts w:ascii="Arial" w:cs="Arial" w:eastAsia="Arial" w:hAnsi="Arial"/>
          <w:sz w:val="17"/>
          <w:szCs w:val="17"/>
          <w:color w:val="auto"/>
        </w:rPr>
      </w:pPr>
    </w:p>
    <w:p>
      <w:pPr>
        <w:ind w:firstLine="656"/>
        <w:spacing w:after="0" w:line="324" w:lineRule="auto"/>
        <w:tabs>
          <w:tab w:leader="none" w:pos="143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All Restricted Payment Shares and Make-Whole Payment Shares shall be delivered to BofA (or any affiliate of BofA designated by BofA) pursuant to the exemption from the registration requirements of the Securities Act provided by Section 4(2) thereof.</w:t>
      </w:r>
    </w:p>
    <w:p>
      <w:pPr>
        <w:spacing w:after="0" w:line="102" w:lineRule="exact"/>
        <w:rPr>
          <w:rFonts w:ascii="Arial" w:cs="Arial" w:eastAsia="Arial" w:hAnsi="Arial"/>
          <w:sz w:val="18"/>
          <w:szCs w:val="18"/>
          <w:color w:val="auto"/>
        </w:rPr>
      </w:pPr>
    </w:p>
    <w:p>
      <w:pPr>
        <w:jc w:val="both"/>
        <w:ind w:firstLine="1467"/>
        <w:spacing w:after="0" w:line="257" w:lineRule="auto"/>
        <w:tabs>
          <w:tab w:leader="none" w:pos="18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of or prior to the date of delivery, Merrill Lynch, Pierce, Fenner &amp; Smith Incorporated, BofA and any potential purchaser of any such Shares from BofA (or any affiliate of BofA designated by BofA) identified by BofA shall be afforded a commercially reasonable opportunity to conduct a due diligence investigation with respect to Counterparty customary in scope for private placements of equity securities for companies of similar size (including, without limitation, the right to have made available to them for inspection all financial and other records, pertinent corporate documents and other information reasonably requested by them).</w:t>
      </w:r>
    </w:p>
    <w:p>
      <w:pPr>
        <w:spacing w:after="0" w:line="184" w:lineRule="exact"/>
        <w:rPr>
          <w:rFonts w:ascii="Arial" w:cs="Arial" w:eastAsia="Arial" w:hAnsi="Arial"/>
          <w:sz w:val="18"/>
          <w:szCs w:val="18"/>
          <w:color w:val="auto"/>
        </w:rPr>
      </w:pPr>
    </w:p>
    <w:p>
      <w:pPr>
        <w:jc w:val="both"/>
        <w:ind w:firstLine="1467"/>
        <w:spacing w:after="0" w:line="254" w:lineRule="auto"/>
        <w:tabs>
          <w:tab w:leader="none" w:pos="18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of the date of delivery, Counterparty shall use its best efforts to enter into an agreement (a “</w:t>
      </w:r>
      <w:r>
        <w:rPr>
          <w:rFonts w:ascii="Arial" w:cs="Arial" w:eastAsia="Arial" w:hAnsi="Arial"/>
          <w:sz w:val="18"/>
          <w:szCs w:val="18"/>
          <w:b w:val="1"/>
          <w:bCs w:val="1"/>
          <w:color w:val="auto"/>
        </w:rPr>
        <w:t>Private Placement Agreement</w:t>
      </w:r>
      <w:r>
        <w:rPr>
          <w:rFonts w:ascii="Arial" w:cs="Arial" w:eastAsia="Arial" w:hAnsi="Arial"/>
          <w:sz w:val="18"/>
          <w:szCs w:val="18"/>
          <w:color w:val="auto"/>
        </w:rPr>
        <w:t>”) with BofA (or any affiliate of BofA designated by BofA) in connection with the private placement of such Shares by Counterparty to BofA (or any such affiliate) and the private resale of such Shares by BofA (or any such affiliate), substantially similar to private placement purchase agreements customary for private placements of equity securities for companies of similar size, in form and substance commercially reasonably satisfactory to BofA, which Private Placement Agreement shall include, without limitation, provisions substantially similar to those contained in such private placement purchase agreements relating to the indemnification of, and contribution in connection with the liability of, BofA and its affiliates, and shall provide for the payment by Counterparty of all fees and expenses in connection with such resale, including all fees and expenses of counsel for BofA, and shall contain representations, warranties and agreements of Counterparty reasonably necessary or advisable to establish and maintain the availability of an exemption from the registration requirements of the Securities Act for such resales.</w:t>
      </w:r>
    </w:p>
    <w:p>
      <w:pPr>
        <w:spacing w:after="0" w:line="193" w:lineRule="exact"/>
        <w:rPr>
          <w:rFonts w:ascii="Arial" w:cs="Arial" w:eastAsia="Arial" w:hAnsi="Arial"/>
          <w:sz w:val="18"/>
          <w:szCs w:val="18"/>
          <w:color w:val="auto"/>
        </w:rPr>
      </w:pPr>
    </w:p>
    <w:p>
      <w:pPr>
        <w:jc w:val="both"/>
        <w:ind w:firstLine="1467"/>
        <w:spacing w:after="0" w:line="259" w:lineRule="auto"/>
        <w:tabs>
          <w:tab w:leader="none" w:pos="18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Counterparty shall not take or cause to be taken any action that would make unavailable either (i) the exemption set forth in Section 4(2) of the Securities Act for the sale of any Restricted Payment Shares or Make-Whole Payment Shares by Counterparty to BofA or (ii) an exemption from the registration requirements of the Securities Act reasonably acceptable to BofA for resales of Restricted Payment Shares and Make-Whole Payment Shares by the BofA (or an affiliate of BofA).</w:t>
      </w:r>
    </w:p>
    <w:p>
      <w:pPr>
        <w:spacing w:after="0" w:line="186" w:lineRule="exact"/>
        <w:rPr>
          <w:rFonts w:ascii="Arial" w:cs="Arial" w:eastAsia="Arial" w:hAnsi="Arial"/>
          <w:sz w:val="18"/>
          <w:szCs w:val="18"/>
          <w:color w:val="auto"/>
        </w:rPr>
      </w:pPr>
    </w:p>
    <w:p>
      <w:pPr>
        <w:ind w:firstLine="1467"/>
        <w:spacing w:after="0" w:line="277" w:lineRule="auto"/>
        <w:tabs>
          <w:tab w:leader="none" w:pos="1895"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Counterparty expressly agrees and acknowledges that the public disclosure of all material information relating to Counterparty is within Counterparty’s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841" w:right="239" w:bottom="1440" w:gutter="0" w:footer="0" w:header="0"/>
          <w:type w:val="continuous"/>
        </w:sectPr>
      </w:pPr>
    </w:p>
    <w:bookmarkStart w:id="152" w:name="page153"/>
    <w:bookmarkEnd w:id="152"/>
    <w:p>
      <w:pPr>
        <w:jc w:val="both"/>
        <w:ind w:firstLine="656"/>
        <w:spacing w:after="0" w:line="286" w:lineRule="auto"/>
        <w:tabs>
          <w:tab w:leader="none" w:pos="1087"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Restricted Payment Shares are delivered in accordance with paragraph 3 above, on the last Settlement Valuation Date, a balance (the “</w:t>
      </w:r>
      <w:r>
        <w:rPr>
          <w:rFonts w:ascii="Arial" w:cs="Arial" w:eastAsia="Arial" w:hAnsi="Arial"/>
          <w:sz w:val="16"/>
          <w:szCs w:val="16"/>
          <w:b w:val="1"/>
          <w:bCs w:val="1"/>
          <w:color w:val="auto"/>
        </w:rPr>
        <w:t>Settlement Balance</w:t>
      </w:r>
      <w:r>
        <w:rPr>
          <w:rFonts w:ascii="Arial" w:cs="Arial" w:eastAsia="Arial" w:hAnsi="Arial"/>
          <w:sz w:val="16"/>
          <w:szCs w:val="16"/>
          <w:color w:val="auto"/>
        </w:rPr>
        <w:t>”) shall be established with an initial balance equal to the absolute value of the Forward Cash Settlement Amount. Following the delivery of Restricted Payment Shares or any Make-Whole Payment Shares, BofA shall sell all such Restricted Payment Shares or Make-Whole Payment Shares in a commercially reasonable manner. At the end of each Exchange Business Day upon which sales have been made, the Settlement Balance shall be reduced by an amount equal to the aggregate proceeds received by BofA or its affiliate upon the sale of such Restricted Payment Shares or Make-Whole Payment Shares, less a customary and commercially reasonable private placement fee for private placements of common stock by issuers of a similar size. If, on any Exchange Business Day, all Restricted Payment Shares and Make-Whole Payment Shares have been sold and the Settlement Balance has not been reduced to zero, Counterparty shall (i) deliver to BofA or as directed by BofA one Settlement Cycle following such Exchange Business Day an additional number of Shares (the “</w:t>
      </w:r>
      <w:r>
        <w:rPr>
          <w:rFonts w:ascii="Arial" w:cs="Arial" w:eastAsia="Arial" w:hAnsi="Arial"/>
          <w:sz w:val="16"/>
          <w:szCs w:val="16"/>
          <w:b w:val="1"/>
          <w:bCs w:val="1"/>
          <w:color w:val="auto"/>
        </w:rPr>
        <w:t>Make-Whole Payment Shares</w:t>
      </w:r>
      <w:r>
        <w:rPr>
          <w:rFonts w:ascii="Arial" w:cs="Arial" w:eastAsia="Arial" w:hAnsi="Arial"/>
          <w:sz w:val="16"/>
          <w:szCs w:val="16"/>
          <w:color w:val="auto"/>
        </w:rPr>
        <w:t>” and, together with the Restricted Payment Shares, the “</w:t>
      </w:r>
      <w:r>
        <w:rPr>
          <w:rFonts w:ascii="Arial" w:cs="Arial" w:eastAsia="Arial" w:hAnsi="Arial"/>
          <w:sz w:val="16"/>
          <w:szCs w:val="16"/>
          <w:b w:val="1"/>
          <w:bCs w:val="1"/>
          <w:color w:val="auto"/>
        </w:rPr>
        <w:t>Payment Shares</w:t>
      </w:r>
      <w:r>
        <w:rPr>
          <w:rFonts w:ascii="Arial" w:cs="Arial" w:eastAsia="Arial" w:hAnsi="Arial"/>
          <w:sz w:val="16"/>
          <w:szCs w:val="16"/>
          <w:color w:val="auto"/>
        </w:rPr>
        <w:t xml:space="preserve">”) equal to (x) the Settlement Balance as of such Exchange Business Day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(y) the Restricted Share Value of the Make-Whole Payment Shares as of such Exchange Business Day or (ii) promptly deliver to BofA cash in an amount equal to the then remaining Settlement Balance. This provision shall be applied successively until either the Settlement Balance is reduced to zero or the aggregate number of Restricted Payment Shares and Make-Whole Payment Shares equals the Maximum Deliverable Number. If on any Exchange Business Day, Restricted Payment Shares and Make-Whole Payment Shares remain unsold and the Settlement Balance has been reduced to zero, BofA shall promptly return such unsold Restricted Payment Shares or Make-Whole Payment Shares.</w:t>
      </w:r>
    </w:p>
    <w:p>
      <w:pPr>
        <w:spacing w:after="0" w:line="171" w:lineRule="exact"/>
        <w:rPr>
          <w:rFonts w:ascii="Arial" w:cs="Arial" w:eastAsia="Arial" w:hAnsi="Arial"/>
          <w:sz w:val="16"/>
          <w:szCs w:val="16"/>
          <w:color w:val="auto"/>
        </w:rPr>
      </w:pPr>
    </w:p>
    <w:p>
      <w:pPr>
        <w:jc w:val="both"/>
        <w:ind w:firstLine="656"/>
        <w:spacing w:after="0" w:line="286" w:lineRule="auto"/>
        <w:tabs>
          <w:tab w:leader="none" w:pos="1017"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Notwithstanding the foregoing, in no event shall Counterparty be required to deliver more than the Maximum Deliverable Number of Shares hereunder. “</w:t>
      </w:r>
      <w:r>
        <w:rPr>
          <w:rFonts w:ascii="Arial" w:cs="Arial" w:eastAsia="Arial" w:hAnsi="Arial"/>
          <w:sz w:val="16"/>
          <w:szCs w:val="16"/>
          <w:b w:val="1"/>
          <w:bCs w:val="1"/>
          <w:color w:val="auto"/>
        </w:rPr>
        <w:t>Maximum Deliverable Number</w:t>
      </w:r>
      <w:r>
        <w:rPr>
          <w:rFonts w:ascii="Arial" w:cs="Arial" w:eastAsia="Arial" w:hAnsi="Arial"/>
          <w:sz w:val="16"/>
          <w:szCs w:val="16"/>
          <w:color w:val="auto"/>
        </w:rPr>
        <w:t>” means the number of Shares set forth as such in Annex B to this Confirmation. Counterparty represents and warrants to BofA (which representation and warranty shall be deemed to be repeated on each day from the date hereof to the Settlement Date or, if Counterparty has elected to deliver any Payment Shares hereunder in connection with a Special Settlement, to the date on which resale of such Payment Shares is completed (the “</w:t>
      </w:r>
      <w:r>
        <w:rPr>
          <w:rFonts w:ascii="Arial" w:cs="Arial" w:eastAsia="Arial" w:hAnsi="Arial"/>
          <w:sz w:val="16"/>
          <w:szCs w:val="16"/>
          <w:b w:val="1"/>
          <w:bCs w:val="1"/>
          <w:color w:val="auto"/>
        </w:rPr>
        <w:t>Final Resale Date</w:t>
      </w:r>
      <w:r>
        <w:rPr>
          <w:rFonts w:ascii="Arial" w:cs="Arial" w:eastAsia="Arial" w:hAnsi="Arial"/>
          <w:sz w:val="16"/>
          <w:szCs w:val="16"/>
          <w:color w:val="auto"/>
        </w:rPr>
        <w:t>”)) that the Maximum Deliverable Number is equal to or less than the number of authorized but unissued Shares of Counterparty that are not reserved for future issuance in connection with transactions in such Shares (other than the transactions under this Confirmation) on the date of the determination of the Maximum Deliverable Number (such Shares, the “</w:t>
      </w:r>
      <w:r>
        <w:rPr>
          <w:rFonts w:ascii="Arial" w:cs="Arial" w:eastAsia="Arial" w:hAnsi="Arial"/>
          <w:sz w:val="16"/>
          <w:szCs w:val="16"/>
          <w:b w:val="1"/>
          <w:bCs w:val="1"/>
          <w:color w:val="auto"/>
        </w:rPr>
        <w:t>Available Shares</w:t>
      </w:r>
      <w:r>
        <w:rPr>
          <w:rFonts w:ascii="Arial" w:cs="Arial" w:eastAsia="Arial" w:hAnsi="Arial"/>
          <w:sz w:val="16"/>
          <w:szCs w:val="16"/>
          <w:color w:val="auto"/>
        </w:rPr>
        <w:t>”). In the event Counterparty shall not have delivered the full number of Shares otherwise deliverable as a result of this paragraph 5 (the resulting deficit, the “</w:t>
      </w:r>
      <w:r>
        <w:rPr>
          <w:rFonts w:ascii="Arial" w:cs="Arial" w:eastAsia="Arial" w:hAnsi="Arial"/>
          <w:sz w:val="16"/>
          <w:szCs w:val="16"/>
          <w:b w:val="1"/>
          <w:bCs w:val="1"/>
          <w:color w:val="auto"/>
        </w:rPr>
        <w:t>Deficit Shares</w:t>
      </w:r>
      <w:r>
        <w:rPr>
          <w:rFonts w:ascii="Arial" w:cs="Arial" w:eastAsia="Arial" w:hAnsi="Arial"/>
          <w:sz w:val="16"/>
          <w:szCs w:val="16"/>
          <w:color w:val="auto"/>
        </w:rPr>
        <w:t>”), Counterparty shall be continually obligated to deliver, from time to time until the full number of Deficit Shares have been delivered pursuant to this paragraph, Shares when, and to the extent that, (i) Shares are repurchased, acquired or otherwise received by Counterparty or any of its subsidiaries after the date hereof (whether or not in exchange for cash, fair value or any other consideration), (ii) authorized and unissued Shares reserved for issuance in respect of other transactions prior to such date which prior to the relevant date become no longer so reserved or (iii) Counterparty additionally authorizes any unissued Shares that are not reserved for other transactions. Counterparty shall immediately notify BofA of the occurrence of any of the foregoing events (including the number of Shares subject to clause (i), (ii) or (iii) and the corresponding number of Shares to be delivered) and promptly deliver such Shares thereafter.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6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ANNEX B</w:t>
      </w:r>
    </w:p>
    <w:p>
      <w:pPr>
        <w:sectPr>
          <w:pgSz w:w="11900" w:h="16838" w:orient="portrait"/>
          <w:cols w:equalWidth="0" w:num="1">
            <w:col w:w="11260"/>
          </w:cols>
          <w:pgMar w:left="400" w:top="8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Prepayment Amount: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Scheduled Initial Period End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Earliest Initial Period End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Scheduled Final Averaging Date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Scheduled Earliest Acceleration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Initial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 Adjustment Amount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Maximum Share Percentage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Minimum Share Percentage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Maximum Stock Loan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Initial Stock Loan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Threshold Price: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Maximum Deliverable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USD 250,000,000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3,065,229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USD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200 basis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25 basis points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USD 17.50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12,500,000</w:t>
      </w:r>
    </w:p>
    <w:p>
      <w:pPr>
        <w:spacing w:after="0" w:line="200" w:lineRule="exact"/>
        <w:rPr>
          <w:sz w:val="20"/>
          <w:szCs w:val="20"/>
          <w:color w:val="auto"/>
        </w:rPr>
      </w:pPr>
    </w:p>
    <w:p>
      <w:pPr>
        <w:sectPr>
          <w:pgSz w:w="11900" w:h="16838" w:orient="portrait"/>
          <w:cols w:equalWidth="0" w:num="2">
            <w:col w:w="3540" w:space="720"/>
            <w:col w:w="7000"/>
          </w:cols>
          <w:pgMar w:left="400" w:top="837"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260"/>
          </w:cols>
          <w:pgMar w:left="400" w:top="837" w:right="239" w:bottom="1440" w:gutter="0" w:footer="0" w:header="0"/>
          <w:type w:val="continuous"/>
        </w:sectPr>
      </w:pPr>
    </w:p>
    <w:bookmarkStart w:id="154" w:name="page155"/>
    <w:bookmarkEnd w:id="154"/>
    <w:p>
      <w:pPr>
        <w:jc w:val="center"/>
        <w:ind w:right="-79"/>
        <w:spacing w:after="0"/>
        <w:rPr>
          <w:sz w:val="20"/>
          <w:szCs w:val="20"/>
          <w:color w:val="auto"/>
        </w:rPr>
      </w:pPr>
      <w:r>
        <w:rPr>
          <w:rFonts w:ascii="Arial" w:cs="Arial" w:eastAsia="Arial" w:hAnsi="Arial"/>
          <w:sz w:val="22"/>
          <w:szCs w:val="22"/>
          <w:b w:val="1"/>
          <w:bCs w:val="1"/>
          <w:color w:val="auto"/>
        </w:rPr>
        <w:t>QORVO,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DIRECTOR COMPENSATION PROGRAM</w:t>
      </w:r>
    </w:p>
    <w:p>
      <w:pPr>
        <w:spacing w:after="0" w:line="242"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22"/>
          <w:szCs w:val="22"/>
          <w:color w:val="auto"/>
        </w:rPr>
        <w:t>The following is a summary of compensation paid to the directors of Qorvo, Inc. (the “Company”) effective August 10, 2015. For additional information regarding the director compensation, please read the definitive proxy statement relating to the Company’s 2016 annual meeting of stockholders to be filed pursuant to Regulation 14A.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Non-Employee Directors</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maintains a non-employee director compensation program pursuant to which our non-employee directors are paid as follows:</w:t>
      </w:r>
    </w:p>
    <w:p>
      <w:pPr>
        <w:spacing w:after="0" w:line="21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Annual cash retainer of $80,000 payable quarterly in arrears;</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Additional annual retainer of $58,000 for the Non-Employee Chairman;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Additional annual retainer of $10,000 for the Lead Director;</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Additional annual retainer for Committee Chairs;</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$20,000 for the Audit Committee Chair;</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$20,000 for the Compensation Committee Chair;</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$10,000 for the Governance and Nominating Committee Chair; and</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$10,000 for the Corporate Development Committee Chair.</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Annual restricted stock unit award, representing shares of Company common stock valued at $170,000.</w:t>
      </w:r>
    </w:p>
    <w:p>
      <w:pPr>
        <w:spacing w:after="0" w:line="242"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The annual restricted stock unit awards are granted on the date of the annual stockholders meeting at which directors are elected. Newly elected non-employee directors appointed to the Board other than at an annual stockholders meeting would receive a pro rata annual restricted stock unit award based on the number of full months remaining until the first annual stockholders meeting following the director’s initial appointment to the Board. Each award vests and becomes non-forfeitable as to 100% of the shares subject to the award on the first anniversary of the date of grant, subject to the director’s continued service from the date of grant until the vesting date.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Directors may defer all or a portion of their cash retainers by participating in our Nonqualified Deferred Compensation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are eligible to participate in our group medical and dental plans.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are reimbursed for customary expenses for attending Board and committee meetings.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 who are Employees of the Company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who are employees of the Company are not paid for their service as a director.</w:t>
      </w:r>
    </w:p>
    <w:p>
      <w:pPr>
        <w:sectPr>
          <w:pgSz w:w="11900" w:h="16838" w:orient="portrait"/>
          <w:cols w:equalWidth="0" w:num="1">
            <w:col w:w="11360"/>
          </w:cols>
          <w:pgMar w:left="240" w:top="369" w:right="29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spacing w:after="0"/>
        <w:rPr>
          <w:sz w:val="20"/>
          <w:szCs w:val="20"/>
          <w:color w:val="auto"/>
        </w:rPr>
      </w:pPr>
      <w:r>
        <w:rPr>
          <w:rFonts w:ascii="Arial" w:cs="Arial" w:eastAsia="Arial" w:hAnsi="Arial"/>
          <w:sz w:val="20"/>
          <w:szCs w:val="20"/>
          <w:b w:val="1"/>
          <w:bCs w:val="1"/>
          <w:color w:val="auto"/>
        </w:rPr>
        <w:t>Stock Option Agreement</w:t>
      </w:r>
    </w:p>
    <w:p>
      <w:pPr>
        <w:jc w:val="center"/>
        <w:spacing w:after="0"/>
        <w:rPr>
          <w:sz w:val="20"/>
          <w:szCs w:val="20"/>
          <w:color w:val="auto"/>
        </w:rPr>
      </w:pPr>
      <w:r>
        <w:rPr>
          <w:rFonts w:ascii="Arial" w:cs="Arial" w:eastAsia="Arial" w:hAnsi="Arial"/>
          <w:sz w:val="20"/>
          <w:szCs w:val="20"/>
          <w:b w:val="1"/>
          <w:bCs w:val="1"/>
          <w:color w:val="auto"/>
        </w:rPr>
        <w:t>(Senior Officers)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including any special terms and conditions for the participant’s country set forth in the appendix attached hereto (the “Appendix”) (together with Schedule A, attached hereto, the “Agreement”), is made effective as of the date specified as the “Grant Date” on Schedule A hereto (the “Grant Date”) between QORVO, INC., a Delaware corporation (the “Company”), and ________________, an Employee of, or individual in service to, the Company or an Affiliate (the “Participant”).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furtherance of the purposes of the Qorvo, Inc. 2012 Stock Incentive Plan (As Assumed by Qorvo, Inc. and Amended and Restated Effective January 1, 2015) (Formerly, the RF Micro Devices, Inc. 2012 Stock Incentive Plan), as it may be amended (the “Plan”), the Company and the Participant hereby agree as follows:</w:t>
      </w:r>
    </w:p>
    <w:p>
      <w:pPr>
        <w:spacing w:after="0" w:line="200" w:lineRule="exact"/>
        <w:rPr>
          <w:sz w:val="20"/>
          <w:szCs w:val="20"/>
          <w:color w:val="auto"/>
        </w:rPr>
      </w:pPr>
    </w:p>
    <w:p>
      <w:pPr>
        <w:jc w:val="both"/>
        <w:ind w:firstLine="656"/>
        <w:spacing w:after="0" w:line="282" w:lineRule="auto"/>
        <w:tabs>
          <w:tab w:leader="none" w:pos="107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this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75" w:lineRule="exact"/>
        <w:rPr>
          <w:rFonts w:ascii="Arial" w:cs="Arial" w:eastAsia="Arial" w:hAnsi="Arial"/>
          <w:sz w:val="18"/>
          <w:szCs w:val="18"/>
          <w:color w:val="auto"/>
        </w:rPr>
      </w:pPr>
    </w:p>
    <w:p>
      <w:pPr>
        <w:jc w:val="both"/>
        <w:ind w:firstLine="656"/>
        <w:spacing w:after="0" w:line="255" w:lineRule="auto"/>
        <w:tabs>
          <w:tab w:leader="none" w:pos="1062"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Grant of Option; Term of Option</w:t>
      </w:r>
      <w:r>
        <w:rPr>
          <w:rFonts w:ascii="Arial" w:cs="Arial" w:eastAsia="Arial" w:hAnsi="Arial"/>
          <w:sz w:val="19"/>
          <w:szCs w:val="19"/>
          <w:color w:val="auto"/>
        </w:rPr>
        <w:t xml:space="preserve">. The Company hereby grants to the Participant pursuant to the Plan the right and option (the “Option”) to purchase all or any part of such aggregate number of shares (the “Shares”) of common stock of the Company (the “Common Stock”) at a purchase price (the “Option Price”) as specified on Schedule A, attached hereto, and subject to such other terms and conditions as may be stated herein or in the Plan or on Schedule A. </w:t>
      </w:r>
      <w:r>
        <w:rPr>
          <w:rFonts w:ascii="Arial" w:cs="Arial" w:eastAsia="Arial" w:hAnsi="Arial"/>
          <w:sz w:val="19"/>
          <w:szCs w:val="19"/>
          <w:u w:val="single" w:color="auto"/>
          <w:color w:val="auto"/>
        </w:rPr>
        <w:t>The Participant expressly acknowledges that the terms of Schedule A shall be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incorporated herein by reference and shall constitute part of this Agreement. The Company and the Participant further acknowledge that the Company's signature on the signature page hereof, and the Participant's signature on the Grant Letter contained in Schedule A, shall constitute their acceptance of all of the terms of this Agreement.</w:t>
      </w:r>
      <w:r>
        <w:rPr>
          <w:rFonts w:ascii="Arial" w:cs="Arial" w:eastAsia="Arial" w:hAnsi="Arial"/>
          <w:sz w:val="19"/>
          <w:szCs w:val="19"/>
          <w:color w:val="auto"/>
        </w:rPr>
        <w:t xml:space="preserve"> The Option (or any portion thereof) shall be designated as an Incentive Option or Nonqualified Option, as stated on Schedule A. To the extent that the Option or any portion thereof is designated as an Incentive Option and such Option does not qualify as an Incentive Option, the Option or portion thereof shall be treated as a Nonqualified Option. The term of the Option (the “Option Period”) shall be specified in Schedule A and, except as otherwise provided in the Plan or this Agreement, the Option will expire if not exercised in full by the end of the Option Period.</w:t>
      </w:r>
    </w:p>
    <w:p>
      <w:pPr>
        <w:spacing w:after="0" w:line="201" w:lineRule="exact"/>
        <w:rPr>
          <w:rFonts w:ascii="Arial" w:cs="Arial" w:eastAsia="Arial" w:hAnsi="Arial"/>
          <w:sz w:val="19"/>
          <w:szCs w:val="19"/>
          <w:color w:val="auto"/>
        </w:rPr>
      </w:pPr>
    </w:p>
    <w:p>
      <w:pPr>
        <w:jc w:val="both"/>
        <w:ind w:firstLine="656"/>
        <w:spacing w:after="0" w:line="263" w:lineRule="auto"/>
        <w:tabs>
          <w:tab w:leader="none" w:pos="99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The Participant or his or her legal representatives, legatees or distributees shall not be deemed to be the holder of any Shares subject to the Option and shall not have any dividend rights, voting rights or other rights as a stockholder unless and until (and then only to the extent that) certificates for such Shares have been issued and delivered to him, her or them (or, in the case of uncertificated shares, other written evidence of ownership in accordance with Applicable Law shall have been provided).</w:t>
      </w:r>
    </w:p>
    <w:p>
      <w:pPr>
        <w:spacing w:after="0" w:line="190" w:lineRule="exact"/>
        <w:rPr>
          <w:rFonts w:ascii="Arial" w:cs="Arial" w:eastAsia="Arial" w:hAnsi="Arial"/>
          <w:sz w:val="19"/>
          <w:szCs w:val="19"/>
          <w:color w:val="auto"/>
        </w:rPr>
      </w:pPr>
    </w:p>
    <w:p>
      <w:pPr>
        <w:jc w:val="both"/>
        <w:ind w:firstLine="656"/>
        <w:spacing w:after="0" w:line="250" w:lineRule="auto"/>
        <w:tabs>
          <w:tab w:leader="none" w:pos="102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Subject to the terms of the Plan and this Agreement, the Option shall become exercisable on the date or dates set forth on Schedule A attached hereto. To the extent that the Option is exercisable but is not exercised, the Option shall accumulate and be exercisable by the Participant in whole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0" w:right="239" w:bottom="1440" w:gutter="0" w:footer="0" w:header="0"/>
        </w:sectPr>
      </w:pPr>
    </w:p>
    <w:bookmarkStart w:id="156" w:name="page157"/>
    <w:bookmarkEnd w:id="156"/>
    <w:p>
      <w:pPr>
        <w:jc w:val="both"/>
        <w:spacing w:after="0" w:line="255" w:lineRule="auto"/>
        <w:rPr>
          <w:sz w:val="20"/>
          <w:szCs w:val="20"/>
          <w:color w:val="auto"/>
        </w:rPr>
      </w:pPr>
      <w:r>
        <w:rPr>
          <w:rFonts w:ascii="Arial" w:cs="Arial" w:eastAsia="Arial" w:hAnsi="Arial"/>
          <w:sz w:val="19"/>
          <w:szCs w:val="19"/>
          <w:color w:val="auto"/>
        </w:rPr>
        <w:t xml:space="preserve">or in part at any time during the Option Period, subject to the terms of the Plan and this Agreement. </w:t>
      </w:r>
      <w:r>
        <w:rPr>
          <w:rFonts w:ascii="Arial" w:cs="Arial" w:eastAsia="Arial" w:hAnsi="Arial"/>
          <w:sz w:val="19"/>
          <w:szCs w:val="19"/>
          <w:u w:val="single" w:color="auto"/>
          <w:color w:val="auto"/>
        </w:rPr>
        <w:t>The Participant expressly acknowledges</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 the Option may vest and be exercisable only upon such terms and conditions as are provided in this Agreement and the Plan</w:t>
      </w:r>
      <w:r>
        <w:rPr>
          <w:rFonts w:ascii="Arial" w:cs="Arial" w:eastAsia="Arial" w:hAnsi="Arial"/>
          <w:sz w:val="19"/>
          <w:szCs w:val="19"/>
          <w:color w:val="auto"/>
        </w:rPr>
        <w:t>. Upon the exercise of the Option in whole or in part, payment of the Option Price in accordance with the provisions of the Plan and this Agreement, and satisfaction of such other conditions as may be established by the Administrator or this Agreement, the Company shall as soon thereafter as practicable deliver to the Participant a certificate or certificates for the Shares purchased. Except where prohibited by the Administrator or Applicable Law (and subject to such terms and conditions as may be established by the Administrator), payment of the Option Price may be made: (a) in cash or cash equivalent; (b) if the Participant is resident in the U.S., by delivery (by either actual delivery or attestation) of shares of Common Stock owned by the Participant for such time period, if any, as may be determined by the Administrator; (c) if the Participant is resident in the U.S., by Shares withheld upon exercise; (d) by delivery of written notice of exercise to the Company and delivery to a broker of written notice of exercise and irrevocable instructions to promptly deliver to the Company the amount of sale or loan proceeds to pay the Option Price; or (e) by a combination of the foregoing methods. Shares delivered or withheld in payment of the Option Price shall be valued at their Fair Market Value on the date of exercise. The total number of Shares that may be acquired upon exercise of the Option shall be rounded down to the nearest whole Share.</w:t>
      </w:r>
    </w:p>
    <w:p>
      <w:pPr>
        <w:spacing w:after="0" w:line="196" w:lineRule="exact"/>
        <w:rPr>
          <w:sz w:val="20"/>
          <w:szCs w:val="20"/>
          <w:color w:val="auto"/>
        </w:rPr>
      </w:pPr>
    </w:p>
    <w:p>
      <w:pPr>
        <w:jc w:val="both"/>
        <w:ind w:firstLine="656"/>
        <w:spacing w:after="0" w:line="250" w:lineRule="auto"/>
        <w:tabs>
          <w:tab w:leader="none" w:pos="1076"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Effect of Termination of Employment</w:t>
      </w:r>
      <w:r>
        <w:rPr>
          <w:rFonts w:ascii="Arial" w:cs="Arial" w:eastAsia="Arial" w:hAnsi="Arial"/>
          <w:sz w:val="20"/>
          <w:szCs w:val="20"/>
          <w:color w:val="auto"/>
        </w:rPr>
        <w:t>. Except as may be otherwise provided in Schedule A, the Option shall not be exercised unless the Participant is, at the time of the exercise, an Employee and has been an Employee continuously since the date the Option was granted, subject to the following:</w:t>
      </w:r>
    </w:p>
    <w:p>
      <w:pPr>
        <w:spacing w:after="0" w:line="200" w:lineRule="exact"/>
        <w:rPr>
          <w:sz w:val="20"/>
          <w:szCs w:val="20"/>
          <w:color w:val="auto"/>
        </w:rPr>
      </w:pPr>
    </w:p>
    <w:p>
      <w:pPr>
        <w:ind w:right="20" w:firstLine="656"/>
        <w:spacing w:after="0" w:line="260" w:lineRule="auto"/>
        <w:tabs>
          <w:tab w:leader="none" w:pos="1105"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Option shall not be affected by any change in the terms, conditions or status of the Participant's employment, provided that the Participant continues to be an Employee.</w:t>
      </w:r>
    </w:p>
    <w:p>
      <w:pPr>
        <w:spacing w:after="0" w:line="190" w:lineRule="exact"/>
        <w:rPr>
          <w:rFonts w:ascii="Arial" w:cs="Arial" w:eastAsia="Arial" w:hAnsi="Arial"/>
          <w:sz w:val="20"/>
          <w:szCs w:val="20"/>
          <w:color w:val="auto"/>
        </w:rPr>
      </w:pPr>
    </w:p>
    <w:p>
      <w:pPr>
        <w:jc w:val="both"/>
        <w:ind w:firstLine="656"/>
        <w:spacing w:after="0" w:line="282" w:lineRule="auto"/>
        <w:tabs>
          <w:tab w:leader="none" w:pos="11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employment relationship of the Participant shall be treated as continuing intact for any period that the Participant is on military or sick leave or other bona fide leave of absence, provided that the period of such leave does not exceed ninety (90) days, or, if longer, as long as the Participant's right to reemployment is guaranteed either by statute or by contract. The employment relationship of the Participant shall also be treated as continuing intact while the Participant is not in active service because of a Disability.</w:t>
      </w:r>
    </w:p>
    <w:p>
      <w:pPr>
        <w:spacing w:after="0" w:line="175" w:lineRule="exact"/>
        <w:rPr>
          <w:rFonts w:ascii="Arial" w:cs="Arial" w:eastAsia="Arial" w:hAnsi="Arial"/>
          <w:sz w:val="18"/>
          <w:szCs w:val="18"/>
          <w:color w:val="auto"/>
        </w:rPr>
      </w:pPr>
    </w:p>
    <w:p>
      <w:pPr>
        <w:jc w:val="both"/>
        <w:ind w:firstLine="656"/>
        <w:spacing w:after="0" w:line="246" w:lineRule="auto"/>
        <w:tabs>
          <w:tab w:leader="none" w:pos="1103" w:val="left"/>
        </w:tabs>
        <w:numPr>
          <w:ilvl w:val="0"/>
          <w:numId w:val="88"/>
        </w:numPr>
        <w:rPr>
          <w:rFonts w:ascii="Arial" w:cs="Arial" w:eastAsia="Arial" w:hAnsi="Arial"/>
          <w:sz w:val="20"/>
          <w:szCs w:val="20"/>
          <w:color w:val="auto"/>
        </w:rPr>
      </w:pPr>
      <w:r>
        <w:rPr>
          <w:rFonts w:ascii="Arial" w:cs="Arial" w:eastAsia="Arial" w:hAnsi="Arial"/>
          <w:sz w:val="20"/>
          <w:szCs w:val="20"/>
          <w:color w:val="auto"/>
        </w:rPr>
        <w:t>If the employment of the Participant is terminated because of death, the following shall apply: (i) the Option shall automatically fully vest effective as of the date of the Participant's death, (ii) the Option must be exercised, if at all, prior to the close of the Option Period (after which time the Option shall terminate) and (iii) the Option shall be exercisable by such person or persons as shall have acquired the right to exercise the Option by will or by the laws of descent and distribution.</w:t>
      </w:r>
    </w:p>
    <w:p>
      <w:pPr>
        <w:spacing w:after="0" w:line="205" w:lineRule="exact"/>
        <w:rPr>
          <w:rFonts w:ascii="Arial" w:cs="Arial" w:eastAsia="Arial" w:hAnsi="Arial"/>
          <w:sz w:val="20"/>
          <w:szCs w:val="20"/>
          <w:color w:val="auto"/>
        </w:rPr>
      </w:pPr>
    </w:p>
    <w:p>
      <w:pPr>
        <w:ind w:right="20" w:firstLine="656"/>
        <w:spacing w:after="0" w:line="260" w:lineRule="auto"/>
        <w:tabs>
          <w:tab w:leader="none" w:pos="1082" w:val="left"/>
        </w:tabs>
        <w:numPr>
          <w:ilvl w:val="0"/>
          <w:numId w:val="88"/>
        </w:numPr>
        <w:rPr>
          <w:rFonts w:ascii="Arial" w:cs="Arial" w:eastAsia="Arial" w:hAnsi="Arial"/>
          <w:sz w:val="20"/>
          <w:szCs w:val="20"/>
          <w:color w:val="auto"/>
        </w:rPr>
      </w:pPr>
      <w:r>
        <w:rPr>
          <w:rFonts w:ascii="Arial" w:cs="Arial" w:eastAsia="Arial" w:hAnsi="Arial"/>
          <w:sz w:val="20"/>
          <w:szCs w:val="20"/>
          <w:color w:val="auto"/>
        </w:rPr>
        <w:t>If the employment of the Participant terminates for Cause, his or her Option (regardless of whether vested or unvested) shall lapse and no longer be exercisable as of his or her Termination Date.</w:t>
      </w:r>
    </w:p>
    <w:p>
      <w:pPr>
        <w:spacing w:after="0" w:line="190" w:lineRule="exact"/>
        <w:rPr>
          <w:rFonts w:ascii="Arial" w:cs="Arial" w:eastAsia="Arial" w:hAnsi="Arial"/>
          <w:sz w:val="20"/>
          <w:szCs w:val="20"/>
          <w:color w:val="auto"/>
        </w:rPr>
      </w:pPr>
    </w:p>
    <w:p>
      <w:pPr>
        <w:ind w:firstLine="656"/>
        <w:spacing w:after="0" w:line="260" w:lineRule="auto"/>
        <w:tabs>
          <w:tab w:leader="none" w:pos="1095" w:val="left"/>
        </w:tabs>
        <w:numPr>
          <w:ilvl w:val="0"/>
          <w:numId w:val="88"/>
        </w:numPr>
        <w:rPr>
          <w:rFonts w:ascii="Arial" w:cs="Arial" w:eastAsia="Arial" w:hAnsi="Arial"/>
          <w:sz w:val="20"/>
          <w:szCs w:val="20"/>
          <w:color w:val="auto"/>
        </w:rPr>
      </w:pPr>
      <w:r>
        <w:rPr>
          <w:rFonts w:ascii="Arial" w:cs="Arial" w:eastAsia="Arial" w:hAnsi="Arial"/>
          <w:sz w:val="20"/>
          <w:szCs w:val="20"/>
          <w:color w:val="auto"/>
        </w:rPr>
        <w:t>If the employment of the Participant is terminated for any reason other than death or for Cause, the provisions of Section 2(b) of Schedule A shall apply.</w:t>
      </w:r>
    </w:p>
    <w:p>
      <w:pPr>
        <w:spacing w:after="0" w:line="190" w:lineRule="exact"/>
        <w:rPr>
          <w:rFonts w:ascii="Arial" w:cs="Arial" w:eastAsia="Arial" w:hAnsi="Arial"/>
          <w:sz w:val="20"/>
          <w:szCs w:val="20"/>
          <w:color w:val="auto"/>
        </w:rPr>
      </w:pPr>
    </w:p>
    <w:p>
      <w:pPr>
        <w:jc w:val="both"/>
        <w:ind w:firstLine="656"/>
        <w:spacing w:after="0" w:line="260" w:lineRule="auto"/>
        <w:tabs>
          <w:tab w:leader="none" w:pos="1053" w:val="left"/>
        </w:tabs>
        <w:numPr>
          <w:ilvl w:val="0"/>
          <w:numId w:val="88"/>
        </w:numPr>
        <w:rPr>
          <w:rFonts w:ascii="Arial" w:cs="Arial" w:eastAsia="Arial" w:hAnsi="Arial"/>
          <w:sz w:val="19"/>
          <w:szCs w:val="19"/>
          <w:color w:val="auto"/>
        </w:rPr>
      </w:pPr>
      <w:r>
        <w:rPr>
          <w:rFonts w:ascii="Arial" w:cs="Arial" w:eastAsia="Arial" w:hAnsi="Arial"/>
          <w:sz w:val="19"/>
          <w:szCs w:val="19"/>
          <w:color w:val="auto"/>
        </w:rPr>
        <w:t>Subject to Section 5(b) above (and except as otherwise required under Code Section 409A and/or Code Section 422), for purposes of the Option, the Termination Date occurs on the date the Participant is no longer actively providing service to the Company or any Affiliate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the Participant’s period of service would not include any contractual notice period or any period of “garden leave” or similar period mandated under employment laws in the jurisdiction where the Participant is employed or the terms of his or her employment or service agreement, if any); and the Administrator shall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57" w:name="page158"/>
    <w:bookmarkEnd w:id="157"/>
    <w:p>
      <w:pPr>
        <w:spacing w:after="0" w:line="260" w:lineRule="auto"/>
        <w:rPr>
          <w:sz w:val="20"/>
          <w:szCs w:val="20"/>
          <w:color w:val="auto"/>
        </w:rPr>
      </w:pPr>
      <w:r>
        <w:rPr>
          <w:rFonts w:ascii="Arial" w:cs="Arial" w:eastAsia="Arial" w:hAnsi="Arial"/>
          <w:sz w:val="20"/>
          <w:szCs w:val="20"/>
          <w:color w:val="auto"/>
        </w:rPr>
        <w:t>have the exclusive discretion to determine when the Participant is no longer actively providing services for purposes of the Option (including whether the Participant may still be considered to be providing services while on a leave of absence).</w:t>
      </w:r>
    </w:p>
    <w:p>
      <w:pPr>
        <w:spacing w:after="0" w:line="190" w:lineRule="exact"/>
        <w:rPr>
          <w:sz w:val="20"/>
          <w:szCs w:val="20"/>
          <w:color w:val="auto"/>
        </w:rPr>
      </w:pPr>
    </w:p>
    <w:p>
      <w:pPr>
        <w:jc w:val="both"/>
        <w:ind w:firstLine="656"/>
        <w:spacing w:after="0" w:line="276" w:lineRule="auto"/>
        <w:tabs>
          <w:tab w:leader="none" w:pos="102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Right of Continued Employment; Forfeiture of Option</w:t>
      </w:r>
      <w:r>
        <w:rPr>
          <w:rFonts w:ascii="Arial" w:cs="Arial" w:eastAsia="Arial" w:hAnsi="Arial"/>
          <w:sz w:val="18"/>
          <w:szCs w:val="18"/>
          <w:color w:val="auto"/>
        </w:rPr>
        <w:t>. Nothing contained in this Agreement or the Plan shall confer upon the Participant any right to continue in the employment or service of the Company or an Affiliate or interfere with the right of the Company or an Affiliate to terminate the Participant's employment or service at any time. Except as otherwise expressly provided in the Plan and this Agreement (including but not limited to Schedule A), all rights of the Participant under the Plan with respect to the unexercised portion of his or her Option shall terminate as of the Participant's Termination Date. The grant of the Option is voluntary and occasional and does not create any obligation to grant further awards or benefits in lieu of such awards, even if options have been granted in the past.</w:t>
      </w:r>
    </w:p>
    <w:p>
      <w:pPr>
        <w:spacing w:after="0" w:line="178" w:lineRule="exact"/>
        <w:rPr>
          <w:rFonts w:ascii="Arial" w:cs="Arial" w:eastAsia="Arial" w:hAnsi="Arial"/>
          <w:sz w:val="18"/>
          <w:szCs w:val="18"/>
          <w:color w:val="auto"/>
        </w:rPr>
      </w:pPr>
    </w:p>
    <w:p>
      <w:pPr>
        <w:jc w:val="both"/>
        <w:ind w:firstLine="656"/>
        <w:spacing w:after="0" w:line="257" w:lineRule="auto"/>
        <w:tabs>
          <w:tab w:leader="none" w:pos="1143"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To the extent that this Option is designated as an Incentive Option, the Option shall not be transferable (including by sale, assignment, pledge or hypothecation) other than by will or the laws of descent and distribution, or, in the Administrator's discretion, as may otherwise be permitted in accordance with U.S. Treas. Reg. Section 1.421-1(b)(2) or Treas. Reg. Section 1.421-2(c) or any successor provisions thereto. To the extent that this Option is designated as a Nonqualified Option, the Option shall not be transferable (including by sale, assignment, pledge or hypothecation) other than by will or the laws of descent and distribution, except for transfers if and to the extent permitted by the Administrator in a manner consistent with the Plan and Applicable Law including the registration provisions of the Securities Act. Except as may be permitted by the preceding, the Option shall be exercisable during the Participant's lifetime only by the Participant or his or her guardian or legal representative.</w:t>
      </w:r>
    </w:p>
    <w:p>
      <w:pPr>
        <w:spacing w:after="0" w:line="194" w:lineRule="exact"/>
        <w:rPr>
          <w:rFonts w:ascii="Arial" w:cs="Arial" w:eastAsia="Arial" w:hAnsi="Arial"/>
          <w:sz w:val="19"/>
          <w:szCs w:val="19"/>
          <w:color w:val="auto"/>
        </w:rPr>
      </w:pPr>
    </w:p>
    <w:p>
      <w:pPr>
        <w:ind w:left="1000" w:hanging="344"/>
        <w:spacing w:after="0"/>
        <w:tabs>
          <w:tab w:leader="none" w:pos="100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Withholding; Tax Consequences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5"/>
        <w:spacing w:after="0" w:line="255" w:lineRule="exact"/>
        <w:tabs>
          <w:tab w:leader="none" w:pos="1771" w:val="left"/>
        </w:tabs>
        <w:numPr>
          <w:ilvl w:val="1"/>
          <w:numId w:val="89"/>
        </w:numPr>
        <w:rPr>
          <w:rFonts w:ascii="Arial" w:cs="Arial" w:eastAsia="Arial" w:hAnsi="Arial"/>
          <w:sz w:val="20"/>
          <w:szCs w:val="20"/>
          <w:color w:val="auto"/>
        </w:rPr>
      </w:pPr>
      <w:r>
        <w:rPr>
          <w:rFonts w:ascii="Arial" w:cs="Arial" w:eastAsia="Arial" w:hAnsi="Arial"/>
          <w:sz w:val="20"/>
          <w:szCs w:val="20"/>
          <w:color w:val="auto"/>
        </w:rPr>
        <w:t>Regardless of any action the Company and/or the Participant’s employer (the “Employer”) takes with respect to any or all income tax, social insurance, payroll tax, fringe benefits tax, payment on account or other tax</w:t>
      </w:r>
      <w:r>
        <w:rPr>
          <w:rFonts w:ascii="MS PGothic" w:cs="MS PGothic" w:eastAsia="MS PGothic" w:hAnsi="MS PGothic"/>
          <w:sz w:val="20"/>
          <w:szCs w:val="20"/>
          <w:color w:val="auto"/>
        </w:rPr>
        <w:t>‑</w:t>
      </w:r>
      <w:r>
        <w:rPr>
          <w:rFonts w:ascii="Arial" w:cs="Arial" w:eastAsia="Arial" w:hAnsi="Arial"/>
          <w:sz w:val="20"/>
          <w:szCs w:val="20"/>
          <w:color w:val="auto"/>
        </w:rPr>
        <w:t>related items arising out of the Participant’s participation in the Plan and legally applicable to the Participant (“Tax-Related Items”), the Participant acknowledges that the ultimate liability for all Tax-Related Items is and remains his or her responsibility and may exceed the amount actually withheld by the Company and/or the Employer. If the Participant has become subject to tax in more than one jurisdiction, the Participant acknowledges that the Company and/or the Employer (or former employer, as applicable) may be required to withhold or account for Tax-Related Items in more than one jurisdiction.</w:t>
      </w:r>
    </w:p>
    <w:p>
      <w:pPr>
        <w:spacing w:after="0" w:line="228" w:lineRule="exact"/>
        <w:rPr>
          <w:rFonts w:ascii="Arial" w:cs="Arial" w:eastAsia="Arial" w:hAnsi="Arial"/>
          <w:sz w:val="20"/>
          <w:szCs w:val="20"/>
          <w:color w:val="auto"/>
        </w:rPr>
      </w:pPr>
    </w:p>
    <w:p>
      <w:pPr>
        <w:jc w:val="both"/>
        <w:ind w:left="660" w:firstLine="645"/>
        <w:spacing w:after="0" w:line="270" w:lineRule="auto"/>
        <w:tabs>
          <w:tab w:leader="none" w:pos="1782" w:val="left"/>
        </w:tabs>
        <w:numPr>
          <w:ilvl w:val="1"/>
          <w:numId w:val="89"/>
        </w:numPr>
        <w:rPr>
          <w:rFonts w:ascii="Arial" w:cs="Arial" w:eastAsia="Arial" w:hAnsi="Arial"/>
          <w:sz w:val="20"/>
          <w:szCs w:val="20"/>
          <w:color w:val="auto"/>
        </w:rPr>
      </w:pPr>
      <w:r>
        <w:rPr>
          <w:rFonts w:ascii="Arial" w:cs="Arial" w:eastAsia="Arial" w:hAnsi="Arial"/>
          <w:sz w:val="20"/>
          <w:szCs w:val="20"/>
          <w:color w:val="auto"/>
        </w:rPr>
        <w:t>Prior to the relevant taxable or tax withholding event, as applicable, the Participant shall pay or make arrangements satisfactory to the Company and/or the Employer to satisfy all Tax-Related Items. In this regard, the Participant authorizes the Company and/or the Employer, or their respective agents, at their discretion and subject to any Code Section 409A considerations, to satisfy their withholding obligations with respect to Tax-Related Items by one or a combination of the following: (i) withholding from the Participant’s wages or other cash compensation paid to the Participant by the Company or the Employer; or (ii) withholding from proceeds of the sale of Shares acquired at exercise of the Option either through a voluntary sale or through a mandatory sale arranged by the Company (on the Participant’s behalf pursuant to this authorization); or (iii) withholding in Shares to be issued at exercise of the Option.</w:t>
      </w:r>
    </w:p>
    <w:p>
      <w:pPr>
        <w:spacing w:after="0" w:line="199" w:lineRule="exact"/>
        <w:rPr>
          <w:rFonts w:ascii="Arial" w:cs="Arial" w:eastAsia="Arial" w:hAnsi="Arial"/>
          <w:sz w:val="20"/>
          <w:szCs w:val="20"/>
          <w:color w:val="auto"/>
        </w:rPr>
      </w:pPr>
    </w:p>
    <w:p>
      <w:pPr>
        <w:ind w:left="660" w:firstLine="645"/>
        <w:spacing w:after="0" w:line="289" w:lineRule="auto"/>
        <w:tabs>
          <w:tab w:leader="none" w:pos="1771" w:val="left"/>
        </w:tabs>
        <w:numPr>
          <w:ilvl w:val="1"/>
          <w:numId w:val="89"/>
        </w:numPr>
        <w:rPr>
          <w:rFonts w:ascii="Arial" w:cs="Arial" w:eastAsia="Arial" w:hAnsi="Arial"/>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amounts or other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58" w:name="page159"/>
    <w:bookmarkEnd w:id="158"/>
    <w:p>
      <w:pPr>
        <w:jc w:val="both"/>
        <w:ind w:left="4"/>
        <w:spacing w:after="0" w:line="288" w:lineRule="auto"/>
        <w:rPr>
          <w:sz w:val="20"/>
          <w:szCs w:val="20"/>
          <w:color w:val="auto"/>
        </w:rPr>
      </w:pPr>
      <w:r>
        <w:rPr>
          <w:rFonts w:ascii="Arial" w:cs="Arial" w:eastAsia="Arial" w:hAnsi="Arial"/>
          <w:sz w:val="19"/>
          <w:szCs w:val="19"/>
          <w:color w:val="auto"/>
        </w:rPr>
        <w:t>withholding rates. If the obligation for Tax-Related Items is satisfied by withholding in Shares, for tax purposes, the Participant is deemed to have been issued the full number of Shares subject to the exercised Options, notwithstanding that a number of the Shares are held back solely for the purpose of paying the Tax-Related Items due as a result of any aspect of the Participant’s participation in the Plan. If withholding is performed from proceeds from the sale of Shares acquired at exercise of the Option, the Company may withhold or account for Tax-Related Items by considering maximum applicable rates, in which case the Participant may receive a refund of any over-withheld amount in cash and will have no entitlement to the Shares equivalent.</w:t>
      </w:r>
    </w:p>
    <w:p>
      <w:pPr>
        <w:spacing w:after="0" w:line="183" w:lineRule="exact"/>
        <w:rPr>
          <w:sz w:val="20"/>
          <w:szCs w:val="20"/>
          <w:color w:val="auto"/>
        </w:rPr>
      </w:pPr>
    </w:p>
    <w:p>
      <w:pPr>
        <w:jc w:val="both"/>
        <w:ind w:left="4" w:firstLine="645"/>
        <w:spacing w:after="0" w:line="293" w:lineRule="auto"/>
        <w:tabs>
          <w:tab w:leader="none" w:pos="1126"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Participant shall pay to the Company or the Employer any amount of Tax-Related Items that the Company or the Employer may be required to withhold or account for as a result of the Participant’s participation in the Plan that cannot be satisfied by the means described in this section. The Company may refuse to issue or deliver the Shares or the proceeds of the sale of Shares if the Participant fails to comply with his or her obligations in connection with the Tax-Related Items.</w:t>
      </w:r>
    </w:p>
    <w:p>
      <w:pPr>
        <w:spacing w:after="0" w:line="175" w:lineRule="exact"/>
        <w:rPr>
          <w:rFonts w:ascii="Arial" w:cs="Arial" w:eastAsia="Arial" w:hAnsi="Arial"/>
          <w:sz w:val="19"/>
          <w:szCs w:val="19"/>
          <w:color w:val="auto"/>
        </w:rPr>
      </w:pPr>
    </w:p>
    <w:p>
      <w:pPr>
        <w:jc w:val="both"/>
        <w:ind w:left="4" w:firstLine="645"/>
        <w:spacing w:after="0" w:line="304" w:lineRule="auto"/>
        <w:tabs>
          <w:tab w:leader="none" w:pos="1115"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Participant acknowledges that the Company and/or the Employer have made no warranties or representations to the Participant with respect to the Tax-Related Items (including but not limited to income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grant, vesting or exercise of the Option and/or the acquisition or disposition of the Shares subject to the Option and the receipt of any dividends,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157" w:lineRule="exact"/>
        <w:rPr>
          <w:rFonts w:ascii="Arial" w:cs="Arial" w:eastAsia="Arial" w:hAnsi="Arial"/>
          <w:sz w:val="18"/>
          <w:szCs w:val="18"/>
          <w:color w:val="auto"/>
        </w:rPr>
      </w:pPr>
    </w:p>
    <w:p>
      <w:pPr>
        <w:ind w:left="324" w:hanging="324"/>
        <w:spacing w:after="0"/>
        <w:tabs>
          <w:tab w:leader="none" w:pos="324"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Option, the Participant acknowledges, understands and agrees that:</w:t>
      </w:r>
    </w:p>
    <w:p>
      <w:pPr>
        <w:spacing w:after="0" w:line="215" w:lineRule="exact"/>
        <w:rPr>
          <w:rFonts w:ascii="Arial" w:cs="Arial" w:eastAsia="Arial" w:hAnsi="Arial"/>
          <w:sz w:val="20"/>
          <w:szCs w:val="20"/>
          <w:color w:val="auto"/>
        </w:rPr>
      </w:pPr>
    </w:p>
    <w:p>
      <w:pPr>
        <w:ind w:left="4" w:firstLine="645"/>
        <w:spacing w:after="0" w:line="260" w:lineRule="auto"/>
        <w:tabs>
          <w:tab w:leader="none" w:pos="1187"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144" w:hanging="495"/>
        <w:spacing w:after="0"/>
        <w:tabs>
          <w:tab w:leader="none" w:pos="114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decisions with respect to future equity-based awards to the Participant, if any, will be at the sole discretion of the</w:t>
      </w:r>
    </w:p>
    <w:p>
      <w:pPr>
        <w:spacing w:after="0" w:line="3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199" w:lineRule="exact"/>
        <w:rPr>
          <w:rFonts w:ascii="Arial" w:cs="Arial" w:eastAsia="Arial" w:hAnsi="Arial"/>
          <w:sz w:val="18"/>
          <w:szCs w:val="18"/>
          <w:color w:val="auto"/>
        </w:rPr>
      </w:pPr>
    </w:p>
    <w:p>
      <w:pPr>
        <w:ind w:left="1044" w:hanging="395"/>
        <w:spacing w:after="0"/>
        <w:tabs>
          <w:tab w:leader="none" w:pos="1044"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Participant’s participation in the Plan is voluntary;</w:t>
      </w:r>
    </w:p>
    <w:p>
      <w:pPr>
        <w:spacing w:after="0" w:line="215" w:lineRule="exact"/>
        <w:rPr>
          <w:rFonts w:ascii="Arial" w:cs="Arial" w:eastAsia="Arial" w:hAnsi="Arial"/>
          <w:sz w:val="20"/>
          <w:szCs w:val="20"/>
          <w:color w:val="auto"/>
        </w:rPr>
      </w:pPr>
    </w:p>
    <w:p>
      <w:pPr>
        <w:ind w:left="4" w:firstLine="645"/>
        <w:spacing w:after="0" w:line="260" w:lineRule="auto"/>
        <w:tabs>
          <w:tab w:leader="none" w:pos="1117"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Option and any Shares acquired under the Plan, and the value and income of same, are not intended to replace any pension rights or compensation;</w:t>
      </w:r>
    </w:p>
    <w:p>
      <w:pPr>
        <w:spacing w:after="0" w:line="176" w:lineRule="exact"/>
        <w:rPr>
          <w:rFonts w:ascii="Arial" w:cs="Arial" w:eastAsia="Arial" w:hAnsi="Arial"/>
          <w:sz w:val="20"/>
          <w:szCs w:val="20"/>
          <w:color w:val="auto"/>
        </w:rPr>
      </w:pPr>
    </w:p>
    <w:p>
      <w:pPr>
        <w:jc w:val="both"/>
        <w:ind w:left="4" w:firstLine="645"/>
        <w:spacing w:after="0" w:line="250" w:lineRule="auto"/>
        <w:tabs>
          <w:tab w:leader="none" w:pos="1065" w:val="left"/>
        </w:tabs>
        <w:numPr>
          <w:ilvl w:val="1"/>
          <w:numId w:val="91"/>
        </w:numPr>
        <w:rPr>
          <w:rFonts w:ascii="Arial" w:cs="Arial" w:eastAsia="Arial" w:hAnsi="Arial"/>
          <w:sz w:val="20"/>
          <w:szCs w:val="20"/>
          <w:color w:val="auto"/>
        </w:rPr>
      </w:pPr>
      <w:r>
        <w:rPr>
          <w:rFonts w:ascii="Arial" w:cs="Arial" w:eastAsia="Arial" w:hAnsi="Arial"/>
          <w:sz w:val="20"/>
          <w:szCs w:val="20"/>
          <w:color w:val="auto"/>
        </w:rPr>
        <w:t>unless otherwise agreed with the Company, the Option and any Shares acquired under the Plan, and the value and income of same, are not granted as consideration for, or in connection with, any service the Participant may provide as a director of any Affiliate;</w:t>
      </w:r>
    </w:p>
    <w:p>
      <w:pPr>
        <w:spacing w:after="0" w:line="186" w:lineRule="exact"/>
        <w:rPr>
          <w:rFonts w:ascii="Arial" w:cs="Arial" w:eastAsia="Arial" w:hAnsi="Arial"/>
          <w:sz w:val="20"/>
          <w:szCs w:val="20"/>
          <w:color w:val="auto"/>
        </w:rPr>
      </w:pPr>
    </w:p>
    <w:p>
      <w:pPr>
        <w:jc w:val="both"/>
        <w:ind w:left="4" w:firstLine="645"/>
        <w:spacing w:after="0" w:line="269" w:lineRule="auto"/>
        <w:tabs>
          <w:tab w:leader="none" w:pos="1043"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Option and any Shares acquired under the Plan, and the value and income of same, are not part of normal or expected compensation or salary for purposes of calculating any severance, resignation, termination, redundancy, end of service payments, bonuses, long-service awards, pension or retirement or welfare benefits or similar payments;</w:t>
      </w:r>
    </w:p>
    <w:p>
      <w:pPr>
        <w:spacing w:after="0" w:line="200" w:lineRule="exact"/>
        <w:rPr>
          <w:sz w:val="20"/>
          <w:szCs w:val="20"/>
          <w:color w:val="auto"/>
        </w:rPr>
      </w:pPr>
    </w:p>
    <w:p>
      <w:pPr>
        <w:spacing w:after="0" w:line="21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4"/>
          </w:cols>
          <w:pgMar w:left="896" w:top="380" w:right="239" w:bottom="1440" w:gutter="0" w:footer="0" w:header="0"/>
        </w:sectPr>
      </w:pPr>
    </w:p>
    <w:bookmarkStart w:id="159" w:name="page160"/>
    <w:bookmarkEnd w:id="159"/>
    <w:p>
      <w:pPr>
        <w:ind w:left="1720" w:hanging="415"/>
        <w:spacing w:after="0"/>
        <w:tabs>
          <w:tab w:leader="none" w:pos="1720"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future value of the Shares underlying the Option is unknown and cannot be predicted;</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92"/>
        </w:numPr>
        <w:rPr>
          <w:rFonts w:ascii="Arial" w:cs="Arial" w:eastAsia="Arial" w:hAnsi="Arial"/>
          <w:sz w:val="20"/>
          <w:szCs w:val="20"/>
          <w:color w:val="auto"/>
        </w:rPr>
      </w:pPr>
      <w:r>
        <w:rPr>
          <w:rFonts w:ascii="Arial" w:cs="Arial" w:eastAsia="Arial" w:hAnsi="Arial"/>
          <w:sz w:val="20"/>
          <w:szCs w:val="20"/>
          <w:color w:val="auto"/>
        </w:rPr>
        <w:t>if the underlying Shares do not increase in value, the Option will have no value;</w:t>
      </w:r>
    </w:p>
    <w:p>
      <w:pPr>
        <w:spacing w:after="0" w:line="215" w:lineRule="exact"/>
        <w:rPr>
          <w:rFonts w:ascii="Arial" w:cs="Arial" w:eastAsia="Arial" w:hAnsi="Arial"/>
          <w:sz w:val="20"/>
          <w:szCs w:val="20"/>
          <w:color w:val="auto"/>
        </w:rPr>
      </w:pPr>
    </w:p>
    <w:p>
      <w:pPr>
        <w:ind w:left="660" w:firstLine="645"/>
        <w:spacing w:after="0" w:line="260" w:lineRule="auto"/>
        <w:tabs>
          <w:tab w:leader="none" w:pos="1729" w:val="left"/>
        </w:tabs>
        <w:numPr>
          <w:ilvl w:val="1"/>
          <w:numId w:val="92"/>
        </w:numPr>
        <w:rPr>
          <w:rFonts w:ascii="Arial" w:cs="Arial" w:eastAsia="Arial" w:hAnsi="Arial"/>
          <w:sz w:val="20"/>
          <w:szCs w:val="20"/>
          <w:color w:val="auto"/>
        </w:rPr>
      </w:pPr>
      <w:r>
        <w:rPr>
          <w:rFonts w:ascii="Arial" w:cs="Arial" w:eastAsia="Arial" w:hAnsi="Arial"/>
          <w:sz w:val="20"/>
          <w:szCs w:val="20"/>
          <w:color w:val="auto"/>
        </w:rPr>
        <w:t>if the Participant exercises the Option and acquires Shares, the value of such Shares may increase or decrease in value, even below the Option Price;</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810" w:val="left"/>
        </w:tabs>
        <w:numPr>
          <w:ilvl w:val="1"/>
          <w:numId w:val="92"/>
        </w:numPr>
        <w:rPr>
          <w:rFonts w:ascii="Arial" w:cs="Arial" w:eastAsia="Arial" w:hAnsi="Arial"/>
          <w:sz w:val="20"/>
          <w:szCs w:val="20"/>
          <w:color w:val="auto"/>
        </w:rPr>
      </w:pPr>
      <w:r>
        <w:rPr>
          <w:rFonts w:ascii="Arial" w:cs="Arial" w:eastAsia="Arial" w:hAnsi="Arial"/>
          <w:sz w:val="20"/>
          <w:szCs w:val="20"/>
          <w:color w:val="auto"/>
        </w:rPr>
        <w:t>unless otherwise provided in the Plan, the Option and the benefits evidenced by this Agreement do not create any entitlement to have the Option or any such benefits transferred to, or assumed by, another company nor be exchanged, cashed out or substituted for, in connection with any corporate transaction affecting the Common Stock;</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881" w:val="left"/>
        </w:tabs>
        <w:numPr>
          <w:ilvl w:val="1"/>
          <w:numId w:val="92"/>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Option resulting from the Participant’s termination of employment or service (for any reason whatsoever whether or not later found to be invalid or in breach of employment laws in the jurisdiction where the Participant is employed or the terms of his or her employment or service agreement, if any); and</w:t>
      </w:r>
    </w:p>
    <w:p>
      <w:pPr>
        <w:spacing w:after="0" w:line="191" w:lineRule="exact"/>
        <w:rPr>
          <w:rFonts w:ascii="Arial" w:cs="Arial" w:eastAsia="Arial" w:hAnsi="Arial"/>
          <w:sz w:val="20"/>
          <w:szCs w:val="20"/>
          <w:color w:val="auto"/>
        </w:rPr>
      </w:pPr>
    </w:p>
    <w:p>
      <w:pPr>
        <w:ind w:left="1680" w:hanging="375"/>
        <w:spacing w:after="0"/>
        <w:tabs>
          <w:tab w:leader="none" w:pos="16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if the Participant is employed or providing services outside of the U.S.:</w:t>
      </w:r>
    </w:p>
    <w:p>
      <w:pPr>
        <w:spacing w:after="0" w:line="242" w:lineRule="exact"/>
        <w:rPr>
          <w:rFonts w:ascii="Arial" w:cs="Arial" w:eastAsia="Arial" w:hAnsi="Arial"/>
          <w:sz w:val="20"/>
          <w:szCs w:val="20"/>
          <w:color w:val="auto"/>
        </w:rPr>
      </w:pPr>
    </w:p>
    <w:p>
      <w:pPr>
        <w:jc w:val="both"/>
        <w:ind w:firstLine="1953"/>
        <w:spacing w:after="0" w:line="265" w:lineRule="auto"/>
        <w:tabs>
          <w:tab w:leader="none" w:pos="2356" w:val="left"/>
        </w:tabs>
        <w:numPr>
          <w:ilvl w:val="2"/>
          <w:numId w:val="92"/>
        </w:numPr>
        <w:rPr>
          <w:rFonts w:ascii="Arial" w:cs="Arial" w:eastAsia="Arial" w:hAnsi="Arial"/>
          <w:sz w:val="22"/>
          <w:szCs w:val="22"/>
          <w:color w:val="auto"/>
        </w:rPr>
      </w:pPr>
      <w:r>
        <w:rPr>
          <w:rFonts w:ascii="Arial" w:cs="Arial" w:eastAsia="Arial" w:hAnsi="Arial"/>
          <w:sz w:val="20"/>
          <w:szCs w:val="20"/>
          <w:color w:val="auto"/>
        </w:rPr>
        <w:t>the Option and any Shares acquired under the Plan, and the value and income of same, are not part of normal or expected compensation or salary for any purpose, and in no event should be considered as compensation for, or relating in any way to, past services for the Employer, the Company or any other Affiliate; and</w:t>
      </w:r>
    </w:p>
    <w:p>
      <w:pPr>
        <w:spacing w:after="0" w:line="212" w:lineRule="exact"/>
        <w:rPr>
          <w:rFonts w:ascii="Arial" w:cs="Arial" w:eastAsia="Arial" w:hAnsi="Arial"/>
          <w:sz w:val="22"/>
          <w:szCs w:val="22"/>
          <w:color w:val="auto"/>
        </w:rPr>
      </w:pPr>
    </w:p>
    <w:p>
      <w:pPr>
        <w:jc w:val="both"/>
        <w:ind w:firstLine="1953"/>
        <w:spacing w:after="0" w:line="284" w:lineRule="auto"/>
        <w:tabs>
          <w:tab w:leader="none" w:pos="2551" w:val="left"/>
        </w:tabs>
        <w:numPr>
          <w:ilvl w:val="2"/>
          <w:numId w:val="92"/>
        </w:numPr>
        <w:rPr>
          <w:rFonts w:ascii="Arial" w:cs="Arial" w:eastAsia="Arial" w:hAnsi="Arial"/>
          <w:sz w:val="21"/>
          <w:szCs w:val="21"/>
          <w:color w:val="auto"/>
        </w:rPr>
      </w:pPr>
      <w:r>
        <w:rPr>
          <w:rFonts w:ascii="Arial" w:cs="Arial" w:eastAsia="Arial" w:hAnsi="Arial"/>
          <w:sz w:val="19"/>
          <w:szCs w:val="19"/>
          <w:color w:val="auto"/>
        </w:rPr>
        <w:t>neither the Company, the Employer nor any other Affiliate shall be liable for any foreign exchange rate fluctuation between the Participant’s local currency and the U.S. dollar that may affect the value of the Option or of any amounts due to the Participant pursuant to the exercise of the Option or the subsequent sale of any Shares acquired upon exercise.</w:t>
      </w:r>
    </w:p>
    <w:p>
      <w:pPr>
        <w:spacing w:after="0" w:line="163" w:lineRule="exact"/>
        <w:rPr>
          <w:rFonts w:ascii="Arial" w:cs="Arial" w:eastAsia="Arial" w:hAnsi="Arial"/>
          <w:sz w:val="21"/>
          <w:szCs w:val="21"/>
          <w:color w:val="auto"/>
        </w:rPr>
      </w:pPr>
    </w:p>
    <w:p>
      <w:pPr>
        <w:jc w:val="both"/>
        <w:ind w:firstLine="656"/>
        <w:spacing w:after="0" w:line="248" w:lineRule="auto"/>
        <w:tabs>
          <w:tab w:leader="none" w:pos="1076" w:val="left"/>
        </w:tabs>
        <w:numPr>
          <w:ilvl w:val="0"/>
          <w:numId w:val="93"/>
        </w:numPr>
        <w:rPr>
          <w:rFonts w:ascii="Arial" w:cs="Arial" w:eastAsia="Arial" w:hAnsi="Arial"/>
          <w:sz w:val="20"/>
          <w:szCs w:val="20"/>
          <w:color w:val="auto"/>
        </w:rPr>
      </w:pPr>
      <w:r>
        <w:rPr>
          <w:rFonts w:ascii="Arial" w:cs="Arial" w:eastAsia="Arial" w:hAnsi="Arial"/>
          <w:sz w:val="20"/>
          <w:szCs w:val="20"/>
          <w:b w:val="1"/>
          <w:bCs w:val="1"/>
          <w:u w:val="single" w:color="auto"/>
          <w:color w:val="auto"/>
        </w:rPr>
        <w:t>Data Privacy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The Participant hereby explicitly and unambiguously consents to the collection, use and transfer, in electronic</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or other form, of his or her personal data as described in this Agreement and any other Option grant materials by and among, as applicable, the Employer, the Company and any Affiliate for the exclusive purpose of implementing, administering and managing the Participant’s participation in the Plan.</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the Employer may hold certain personal information about him or her, including, but not limited to, his or her name, home address and telephone number, date of birth, social insurance number or other identification number, salary, nationality, job title, any shares of Common Stock or directorships held in the Company or any Affiliate, details of all Options or any other entitlement to shares of Common Stock awarded, canceled, exercised, vested, unvested or outstanding in his or her favor (“Data”), for the exclusive purpose of implementing, administering and managing the Plan.</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The Participant understands that Data will be transferred to Fidelity Stock Plan Services, LLC (“Fidelity”) or to any other third party assisting in the implementation, administration and management of the Plan. The Participant understands that the recipients of Data may be located in his or her country or elsewhere, and that the recipient’s country may have different data privacy laws and protections than his or her country. The Participant understands that, if he or she resides outside the U.S., the Participant may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Updated February 2016</w:t>
      </w:r>
    </w:p>
    <w:p>
      <w:pPr>
        <w:sectPr>
          <w:pgSz w:w="11900" w:h="16838" w:orient="portrait"/>
          <w:cols w:equalWidth="0" w:num="1">
            <w:col w:w="11420"/>
          </w:cols>
          <w:pgMar w:left="240" w:top="366" w:right="239" w:bottom="1440" w:gutter="0" w:footer="0" w:header="0"/>
        </w:sectPr>
      </w:pPr>
    </w:p>
    <w:bookmarkStart w:id="160" w:name="page161"/>
    <w:bookmarkEnd w:id="160"/>
    <w:p>
      <w:pPr>
        <w:jc w:val="both"/>
        <w:spacing w:after="0" w:line="305" w:lineRule="auto"/>
        <w:rPr>
          <w:sz w:val="20"/>
          <w:szCs w:val="20"/>
          <w:color w:val="auto"/>
        </w:rPr>
      </w:pPr>
      <w:r>
        <w:rPr>
          <w:rFonts w:ascii="Arial" w:cs="Arial" w:eastAsia="Arial" w:hAnsi="Arial"/>
          <w:sz w:val="16"/>
          <w:szCs w:val="16"/>
          <w:b w:val="1"/>
          <w:bCs w:val="1"/>
          <w:i w:val="1"/>
          <w:iCs w:val="1"/>
          <w:color w:val="auto"/>
        </w:rPr>
        <w:t>request a list with the names and addresses of any potential recipients of Data by contacting his or her local human resources representative. The Participant authorizes the Company, Fidelity and any other recipients of Data which may assist the Company (presently or in the future) with implementing, administering and managing the Plan to receive, possess, use, retain and transfer Data, in electronic or other form, for the purposes of implementing, administering and managing his or her participation in the Plan, including any requisite transfer of Data as may be required to a broker or other third party with whom the Participant may elect to deposit any Shares purchased upon exercise of the Option. The Participant understands that Data will be held only as long as is necessary to implement, administer and manage his or her participation in the Plan. The Participant understands that, if he or she resides outside the U.S., the Participant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the consent, his or her employment status or service and career with the Employer will not be affected solely by such actions of the Participant; the only consequence of refusing or withdrawing the consent is that the Company would not be able to grant the Option or other equity awards to the Participant or administer or maintain such awards. Therefore, the Participant understands that refusing or withdrawing the consent may affect his or her ability to participate in the Plan. For more information on the consequences of his or her refusal to consent or withdrawal of consent, the Participant understands that he or she may contact his or her local human resources representative.</w:t>
      </w:r>
    </w:p>
    <w:p>
      <w:pPr>
        <w:spacing w:after="0" w:line="382" w:lineRule="exact"/>
        <w:rPr>
          <w:sz w:val="20"/>
          <w:szCs w:val="20"/>
          <w:color w:val="auto"/>
        </w:rPr>
      </w:pPr>
    </w:p>
    <w:p>
      <w:pPr>
        <w:jc w:val="both"/>
        <w:ind w:firstLine="656"/>
        <w:spacing w:after="0" w:line="282" w:lineRule="auto"/>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Option has vested and is exercisable. Any interpretation of this Agreement by the Administrator and any decision made by it with respect to this Agreement is final and binding.</w:t>
      </w:r>
    </w:p>
    <w:p>
      <w:pPr>
        <w:spacing w:after="0" w:line="175" w:lineRule="exact"/>
        <w:rPr>
          <w:rFonts w:ascii="Arial" w:cs="Arial" w:eastAsia="Arial" w:hAnsi="Arial"/>
          <w:sz w:val="18"/>
          <w:szCs w:val="18"/>
          <w:color w:val="auto"/>
        </w:rPr>
      </w:pPr>
    </w:p>
    <w:p>
      <w:pPr>
        <w:jc w:val="both"/>
        <w:ind w:firstLine="656"/>
        <w:spacing w:after="0" w:line="313" w:lineRule="auto"/>
        <w:tabs>
          <w:tab w:leader="none" w:pos="1148"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Superseding Agreement; Successors and Assigns</w:t>
      </w:r>
      <w:r>
        <w:rPr>
          <w:rFonts w:ascii="Arial" w:cs="Arial" w:eastAsia="Arial" w:hAnsi="Arial"/>
          <w:sz w:val="16"/>
          <w:szCs w:val="16"/>
          <w:color w:val="auto"/>
        </w:rPr>
        <w:t>. This Agreement supersedes any statements, representations or agreements of the Company with respect to the grant of the Option, any other equity-based awards or any related rights, and the Participant hereby waives any rights or claims related to any such statements, representations or agreements. Except as may be otherwise provided in the Plan,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57" w:lineRule="exact"/>
        <w:rPr>
          <w:rFonts w:ascii="Arial" w:cs="Arial" w:eastAsia="Arial" w:hAnsi="Arial"/>
          <w:sz w:val="16"/>
          <w:szCs w:val="16"/>
          <w:color w:val="auto"/>
        </w:rPr>
      </w:pPr>
    </w:p>
    <w:p>
      <w:pPr>
        <w:jc w:val="both"/>
        <w:ind w:firstLine="656"/>
        <w:spacing w:after="0" w:line="243" w:lineRule="auto"/>
        <w:tabs>
          <w:tab w:leader="none" w:pos="1121"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Option grant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this grant is made and/or to be performed.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Updated February 2016</w:t>
      </w:r>
    </w:p>
    <w:p>
      <w:pPr>
        <w:sectPr>
          <w:pgSz w:w="11900" w:h="16838" w:orient="portrait"/>
          <w:cols w:equalWidth="0" w:num="1">
            <w:col w:w="11420"/>
          </w:cols>
          <w:pgMar w:left="240" w:top="366" w:right="239" w:bottom="1440" w:gutter="0" w:footer="0" w:header="0"/>
        </w:sectPr>
      </w:pPr>
    </w:p>
    <w:bookmarkStart w:id="161" w:name="page162"/>
    <w:bookmarkEnd w:id="161"/>
    <w:p>
      <w:pPr>
        <w:jc w:val="both"/>
        <w:ind w:firstLine="656"/>
        <w:spacing w:after="0" w:line="328" w:lineRule="auto"/>
        <w:tabs>
          <w:tab w:leader="none" w:pos="113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Electronic Delivery and Participation</w:t>
      </w:r>
      <w:r>
        <w:rPr>
          <w:rFonts w:ascii="Arial" w:cs="Arial" w:eastAsia="Arial" w:hAnsi="Arial"/>
          <w:sz w:val="16"/>
          <w:szCs w:val="16"/>
          <w:color w:val="auto"/>
        </w:rPr>
        <w:t>. The Company may, in its sole discretion, decide to deliver any documents related to the Option or future Options that may be granted under the Plan by electronic means or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 third party designated by the Company.</w:t>
      </w:r>
    </w:p>
    <w:p>
      <w:pPr>
        <w:spacing w:after="0" w:line="128" w:lineRule="exact"/>
        <w:rPr>
          <w:rFonts w:ascii="Arial" w:cs="Arial" w:eastAsia="Arial" w:hAnsi="Arial"/>
          <w:sz w:val="16"/>
          <w:szCs w:val="16"/>
          <w:color w:val="auto"/>
        </w:rPr>
      </w:pPr>
    </w:p>
    <w:p>
      <w:pPr>
        <w:jc w:val="both"/>
        <w:ind w:firstLine="656"/>
        <w:spacing w:after="0" w:line="250" w:lineRule="auto"/>
        <w:tabs>
          <w:tab w:leader="none" w:pos="1103"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Participant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20"/>
          <w:szCs w:val="20"/>
          <w:color w:val="auto"/>
        </w:rPr>
      </w:pPr>
    </w:p>
    <w:p>
      <w:pPr>
        <w:jc w:val="both"/>
        <w:ind w:firstLine="656"/>
        <w:spacing w:after="0" w:line="276" w:lineRule="auto"/>
        <w:tabs>
          <w:tab w:leader="none" w:pos="125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Insider-Trading/Market-Abuse Laws</w:t>
      </w:r>
      <w:r>
        <w:rPr>
          <w:rFonts w:ascii="Arial" w:cs="Arial" w:eastAsia="Arial" w:hAnsi="Arial"/>
          <w:sz w:val="18"/>
          <w:szCs w:val="18"/>
          <w:color w:val="auto"/>
        </w:rPr>
        <w:t>. The Participant acknowledges that the Participant may be subject to insider-trading restrictions and/or market-abuse laws, which may affect his or her ability to purchase or sell Shares acquired under the Plan during such times as the Participant is considered to have “inside information” regarding the Company (as defined by Applicable Law). Any restrictions under Applicable Law are separate from and in addition to any restrictions that may be imposed under any applicable Company insider-trading policy. The Participant is responsible for complying with any applicable restrictions, so the Participant is advised to speak to his or her personal legal advisor for further details regarding any applicable insider-trading and/or market-abuse laws in his or her country.</w:t>
      </w:r>
    </w:p>
    <w:p>
      <w:pPr>
        <w:spacing w:after="0" w:line="165" w:lineRule="exact"/>
        <w:rPr>
          <w:rFonts w:ascii="Arial" w:cs="Arial" w:eastAsia="Arial" w:hAnsi="Arial"/>
          <w:sz w:val="18"/>
          <w:szCs w:val="18"/>
          <w:color w:val="auto"/>
        </w:rPr>
      </w:pPr>
    </w:p>
    <w:p>
      <w:pPr>
        <w:jc w:val="both"/>
        <w:ind w:firstLine="656"/>
        <w:spacing w:after="0" w:line="263" w:lineRule="auto"/>
        <w:tabs>
          <w:tab w:leader="none" w:pos="1089"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Appendix</w:t>
      </w:r>
      <w:r>
        <w:rPr>
          <w:rFonts w:ascii="Arial" w:cs="Arial" w:eastAsia="Arial" w:hAnsi="Arial"/>
          <w:sz w:val="19"/>
          <w:szCs w:val="19"/>
          <w:color w:val="auto"/>
        </w:rPr>
        <w:t>. The Option shall be subject to any special terms and conditions for the Participant’s country set forth in the Appendix, if any. If the Participant relocates to one of the countries included in the Appendix during the life of the Option, the special terms and conditions for such country shall apply to him or her to the extent the Company determines that the application of such provisions is necessary or advisable for the legal or administrative reasons. The Appendix constitutes part of this Agreement.</w:t>
      </w:r>
    </w:p>
    <w:p>
      <w:pPr>
        <w:spacing w:after="0" w:line="176" w:lineRule="exact"/>
        <w:rPr>
          <w:rFonts w:ascii="Arial" w:cs="Arial" w:eastAsia="Arial" w:hAnsi="Arial"/>
          <w:sz w:val="19"/>
          <w:szCs w:val="19"/>
          <w:color w:val="auto"/>
        </w:rPr>
      </w:pPr>
    </w:p>
    <w:p>
      <w:pPr>
        <w:jc w:val="both"/>
        <w:ind w:firstLine="656"/>
        <w:spacing w:after="0" w:line="291" w:lineRule="auto"/>
        <w:tabs>
          <w:tab w:leader="none" w:pos="111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Option and the Shares purchased upon exercise of the Option, to the extent the Company determines it is necessary or advisable for legal or administrative reasons, and to require the Participant to sign any additional agreements or undertakings that may be necessary to accomplish the foregoing.</w:t>
      </w:r>
    </w:p>
    <w:p>
      <w:pPr>
        <w:spacing w:after="0" w:line="165" w:lineRule="exact"/>
        <w:rPr>
          <w:rFonts w:ascii="Arial" w:cs="Arial" w:eastAsia="Arial" w:hAnsi="Arial"/>
          <w:sz w:val="18"/>
          <w:szCs w:val="18"/>
          <w:color w:val="auto"/>
        </w:rPr>
      </w:pPr>
    </w:p>
    <w:p>
      <w:pPr>
        <w:jc w:val="both"/>
        <w:ind w:firstLine="656"/>
        <w:spacing w:after="0" w:line="278" w:lineRule="auto"/>
        <w:tabs>
          <w:tab w:leader="none" w:pos="110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The waiver by the Company of a breach of any provision of this Agreement by the Participant shall not operate or be construed as a waiver of any subsequent breach by the Participant.</w:t>
      </w:r>
    </w:p>
    <w:p>
      <w:pPr>
        <w:spacing w:after="0" w:line="178" w:lineRule="exact"/>
        <w:rPr>
          <w:rFonts w:ascii="Arial" w:cs="Arial" w:eastAsia="Arial" w:hAnsi="Arial"/>
          <w:sz w:val="18"/>
          <w:szCs w:val="18"/>
          <w:color w:val="auto"/>
        </w:rPr>
      </w:pPr>
    </w:p>
    <w:p>
      <w:pPr>
        <w:jc w:val="both"/>
        <w:ind w:firstLine="656"/>
        <w:spacing w:after="0" w:line="243" w:lineRule="auto"/>
        <w:tabs>
          <w:tab w:leader="none" w:pos="1094"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62" w:name="page163"/>
    <w:bookmarkEnd w:id="162"/>
    <w:p>
      <w:pPr>
        <w:ind w:firstLine="656"/>
        <w:spacing w:after="0" w:line="287" w:lineRule="auto"/>
        <w:tabs>
          <w:tab w:leader="none" w:pos="1094"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66" w:lineRule="exact"/>
        <w:rPr>
          <w:rFonts w:ascii="Arial" w:cs="Arial" w:eastAsia="Arial" w:hAnsi="Arial"/>
          <w:sz w:val="19"/>
          <w:szCs w:val="19"/>
          <w:color w:val="auto"/>
        </w:rPr>
      </w:pPr>
    </w:p>
    <w:p>
      <w:pPr>
        <w:jc w:val="both"/>
        <w:ind w:firstLine="656"/>
        <w:spacing w:after="0" w:line="257" w:lineRule="auto"/>
        <w:tabs>
          <w:tab w:leader="none" w:pos="1134"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Restrictions on Option and Shares</w:t>
      </w:r>
      <w:r>
        <w:rPr>
          <w:rFonts w:ascii="Arial" w:cs="Arial" w:eastAsia="Arial" w:hAnsi="Arial"/>
          <w:sz w:val="19"/>
          <w:szCs w:val="19"/>
          <w:color w:val="auto"/>
        </w:rPr>
        <w:t>. The Company may impose such restrictions on the Option and any Shares or other benefits underlying the Option as it may deem advisable, including without limitation restrictions under the U.S. federal securities laws, the requirements of any stock exchange or similar organization and any blue sky, state or foreign securities laws applicable to such Option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all Applicable Law (including but not limited to the requirements of the Securities Act). The Company may cause a restrictive legend to be placed on any certificate for Shares issued pursuant to the Option in such form as may be prescribed from time to time by Applicable Law or as may be advised by legal counsel.</w:t>
      </w:r>
    </w:p>
    <w:p>
      <w:pPr>
        <w:spacing w:after="0" w:line="194" w:lineRule="exact"/>
        <w:rPr>
          <w:rFonts w:ascii="Arial" w:cs="Arial" w:eastAsia="Arial" w:hAnsi="Arial"/>
          <w:sz w:val="19"/>
          <w:szCs w:val="19"/>
          <w:color w:val="auto"/>
        </w:rPr>
      </w:pPr>
    </w:p>
    <w:p>
      <w:pPr>
        <w:jc w:val="both"/>
        <w:ind w:firstLine="656"/>
        <w:spacing w:after="0" w:line="291" w:lineRule="auto"/>
        <w:tabs>
          <w:tab w:leader="none" w:pos="1107"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65" w:lineRule="exact"/>
        <w:rPr>
          <w:rFonts w:ascii="Arial" w:cs="Arial" w:eastAsia="Arial" w:hAnsi="Arial"/>
          <w:sz w:val="18"/>
          <w:szCs w:val="18"/>
          <w:color w:val="auto"/>
        </w:rPr>
      </w:pPr>
    </w:p>
    <w:p>
      <w:pPr>
        <w:jc w:val="both"/>
        <w:ind w:firstLine="656"/>
        <w:spacing w:after="0" w:line="244" w:lineRule="auto"/>
        <w:tabs>
          <w:tab w:leader="none" w:pos="1229"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this Option,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208" w:lineRule="exact"/>
        <w:rPr>
          <w:rFonts w:ascii="Arial" w:cs="Arial" w:eastAsia="Arial" w:hAnsi="Arial"/>
          <w:sz w:val="20"/>
          <w:szCs w:val="20"/>
          <w:color w:val="auto"/>
        </w:rPr>
      </w:pPr>
    </w:p>
    <w:p>
      <w:pPr>
        <w:ind w:left="1100" w:hanging="444"/>
        <w:spacing w:after="0"/>
        <w:tabs>
          <w:tab w:leader="none" w:pos="11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Notice of Disposition</w:t>
      </w:r>
      <w:r>
        <w:rPr>
          <w:rFonts w:ascii="Arial" w:cs="Arial" w:eastAsia="Arial" w:hAnsi="Arial"/>
          <w:sz w:val="18"/>
          <w:szCs w:val="18"/>
          <w:color w:val="auto"/>
        </w:rPr>
        <w:t>. To the extent that the Option is designated as an Incentive Option, if any Shares are disposed of within two</w:t>
      </w:r>
    </w:p>
    <w:p>
      <w:pPr>
        <w:spacing w:after="0" w:line="38" w:lineRule="exact"/>
        <w:rPr>
          <w:rFonts w:ascii="Arial" w:cs="Arial" w:eastAsia="Arial" w:hAnsi="Arial"/>
          <w:sz w:val="18"/>
          <w:szCs w:val="18"/>
          <w:color w:val="auto"/>
        </w:rPr>
      </w:pPr>
    </w:p>
    <w:p>
      <w:pPr>
        <w:jc w:val="both"/>
        <w:ind w:firstLine="8"/>
        <w:spacing w:after="0" w:line="241" w:lineRule="auto"/>
        <w:tabs>
          <w:tab w:leader="none" w:pos="297" w:val="left"/>
        </w:tabs>
        <w:numPr>
          <w:ilvl w:val="0"/>
          <w:numId w:val="97"/>
        </w:numPr>
        <w:rPr>
          <w:rFonts w:ascii="Arial" w:cs="Arial" w:eastAsia="Arial" w:hAnsi="Arial"/>
          <w:sz w:val="20"/>
          <w:szCs w:val="20"/>
          <w:color w:val="auto"/>
        </w:rPr>
      </w:pPr>
      <w:r>
        <w:rPr>
          <w:rFonts w:ascii="Arial" w:cs="Arial" w:eastAsia="Arial" w:hAnsi="Arial"/>
          <w:sz w:val="20"/>
          <w:szCs w:val="20"/>
          <w:color w:val="auto"/>
        </w:rPr>
        <w:t>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Administrator may reasonably require.</w:t>
      </w:r>
    </w:p>
    <w:p>
      <w:pPr>
        <w:spacing w:after="0" w:line="209" w:lineRule="exact"/>
        <w:rPr>
          <w:rFonts w:ascii="Arial" w:cs="Arial" w:eastAsia="Arial" w:hAnsi="Arial"/>
          <w:sz w:val="20"/>
          <w:szCs w:val="20"/>
          <w:color w:val="auto"/>
        </w:rPr>
      </w:pPr>
    </w:p>
    <w:p>
      <w:pPr>
        <w:jc w:val="both"/>
        <w:ind w:firstLine="656"/>
        <w:spacing w:after="0" w:line="274" w:lineRule="auto"/>
        <w:tabs>
          <w:tab w:leader="none" w:pos="1181"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Foreign Asset/Account Reporting Requirements.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63" w:name="page164"/>
    <w:bookmarkEnd w:id="163"/>
    <w:p>
      <w:pPr>
        <w:ind w:right="500"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Grant Date stated herein.</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Jeffrey C. Howland</w:t>
      </w:r>
    </w:p>
    <w:p>
      <w:pPr>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596"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spacing w:after="0"/>
        <w:rPr>
          <w:sz w:val="20"/>
          <w:szCs w:val="20"/>
          <w:color w:val="auto"/>
        </w:rPr>
      </w:pPr>
      <w:r>
        <w:rPr>
          <w:rFonts w:ascii="Arial" w:cs="Arial" w:eastAsia="Arial" w:hAnsi="Arial"/>
          <w:sz w:val="20"/>
          <w:szCs w:val="20"/>
          <w:b w:val="1"/>
          <w:bCs w:val="1"/>
          <w:color w:val="auto"/>
        </w:rPr>
        <w:t>Stock Option Agreement</w:t>
      </w:r>
    </w:p>
    <w:p>
      <w:pPr>
        <w:jc w:val="center"/>
        <w:spacing w:after="0"/>
        <w:rPr>
          <w:sz w:val="20"/>
          <w:szCs w:val="20"/>
          <w:color w:val="auto"/>
        </w:rPr>
      </w:pPr>
      <w:r>
        <w:rPr>
          <w:rFonts w:ascii="Arial" w:cs="Arial" w:eastAsia="Arial" w:hAnsi="Arial"/>
          <w:sz w:val="20"/>
          <w:szCs w:val="20"/>
          <w:b w:val="1"/>
          <w:bCs w:val="1"/>
          <w:color w:val="auto"/>
        </w:rPr>
        <w:t>(Senior Officers)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35" w:lineRule="exact"/>
        <w:rPr>
          <w:sz w:val="20"/>
          <w:szCs w:val="20"/>
          <w:color w:val="auto"/>
        </w:rPr>
      </w:pPr>
    </w:p>
    <w:p>
      <w:pPr>
        <w:jc w:val="both"/>
        <w:ind w:firstLine="656"/>
        <w:spacing w:after="0" w:line="260" w:lineRule="auto"/>
        <w:tabs>
          <w:tab w:leader="none" w:pos="995"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Grant Terms</w:t>
      </w:r>
      <w:r>
        <w:rPr>
          <w:rFonts w:ascii="Arial" w:cs="Arial" w:eastAsia="Arial" w:hAnsi="Arial"/>
          <w:sz w:val="19"/>
          <w:szCs w:val="19"/>
          <w:color w:val="auto"/>
        </w:rPr>
        <w:t>. Pursuant to the terms and conditions of the Company's 2012 Stock Incentive Plan, as it may be amended (the “Plan”), and the Stock Option Agreement (Senior Officers) attached hereto, including any special terms and conditions for your country in the Appendix attached thereto (together, the “Agreement”), you (the “Participant”) have been granted a Nonqualified Option (the “Option”) to purchase the number of shares of Common Stock (the “Shares”) as outlined below. Unless otherwise defined herein, capitalized terms in this Schedule A shall have the same definitions as set forth in the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460" w:type="dxa"/>
        <w:tblCellMar>
          <w:top w:w="0" w:type="dxa"/>
          <w:left w:w="0" w:type="dxa"/>
          <w:bottom w:w="0" w:type="dxa"/>
          <w:right w:w="0" w:type="dxa"/>
        </w:tblCellMar>
      </w:tblPr>
      <w:tr>
        <w:trPr>
          <w:trHeight w:val="250"/>
        </w:trPr>
        <w:tc>
          <w:tcPr>
            <w:tcW w:w="3420" w:type="dxa"/>
            <w:vAlign w:val="bottom"/>
          </w:tcPr>
          <w:p>
            <w:pPr>
              <w:jc w:val="right"/>
              <w:ind w:right="361"/>
              <w:spacing w:after="0"/>
              <w:rPr>
                <w:sz w:val="20"/>
                <w:szCs w:val="20"/>
                <w:color w:val="auto"/>
              </w:rPr>
            </w:pPr>
            <w:r>
              <w:rPr>
                <w:rFonts w:ascii="Arial" w:cs="Arial" w:eastAsia="Arial" w:hAnsi="Arial"/>
                <w:sz w:val="20"/>
                <w:szCs w:val="20"/>
                <w:color w:val="auto"/>
              </w:rPr>
              <w:t>Participant:</w:t>
            </w:r>
          </w:p>
        </w:tc>
        <w:tc>
          <w:tcPr>
            <w:tcW w:w="3980" w:type="dxa"/>
            <w:vAlign w:val="bottom"/>
          </w:tcPr>
          <w:p>
            <w:pPr>
              <w:ind w:left="440"/>
              <w:spacing w:after="0"/>
              <w:rPr>
                <w:sz w:val="20"/>
                <w:szCs w:val="20"/>
                <w:color w:val="auto"/>
              </w:rPr>
            </w:pPr>
            <w:r>
              <w:rPr>
                <w:rFonts w:ascii="Arial" w:cs="Arial" w:eastAsia="Arial" w:hAnsi="Arial"/>
                <w:sz w:val="20"/>
                <w:szCs w:val="20"/>
                <w:color w:val="auto"/>
              </w:rPr>
              <w:t>________________________</w:t>
            </w:r>
          </w:p>
        </w:tc>
      </w:tr>
      <w:tr>
        <w:trPr>
          <w:trHeight w:val="284"/>
        </w:trPr>
        <w:tc>
          <w:tcPr>
            <w:tcW w:w="3420" w:type="dxa"/>
            <w:vAlign w:val="bottom"/>
          </w:tcPr>
          <w:p>
            <w:pPr>
              <w:jc w:val="right"/>
              <w:ind w:right="361"/>
              <w:spacing w:after="0"/>
              <w:rPr>
                <w:sz w:val="20"/>
                <w:szCs w:val="20"/>
                <w:color w:val="auto"/>
              </w:rPr>
            </w:pPr>
            <w:r>
              <w:rPr>
                <w:rFonts w:ascii="Arial" w:cs="Arial" w:eastAsia="Arial" w:hAnsi="Arial"/>
                <w:sz w:val="20"/>
                <w:szCs w:val="20"/>
                <w:color w:val="auto"/>
              </w:rPr>
              <w:t>Grant Date:</w:t>
            </w:r>
          </w:p>
        </w:tc>
        <w:tc>
          <w:tcPr>
            <w:tcW w:w="3980" w:type="dxa"/>
            <w:vAlign w:val="bottom"/>
          </w:tcPr>
          <w:p>
            <w:pPr>
              <w:ind w:left="440"/>
              <w:spacing w:after="0"/>
              <w:rPr>
                <w:sz w:val="20"/>
                <w:szCs w:val="20"/>
                <w:color w:val="auto"/>
              </w:rPr>
            </w:pPr>
            <w:r>
              <w:rPr>
                <w:rFonts w:ascii="Arial" w:cs="Arial" w:eastAsia="Arial" w:hAnsi="Arial"/>
                <w:sz w:val="20"/>
                <w:szCs w:val="20"/>
                <w:color w:val="auto"/>
              </w:rPr>
              <w:t>________________________</w:t>
            </w:r>
          </w:p>
        </w:tc>
      </w:tr>
      <w:tr>
        <w:trPr>
          <w:trHeight w:val="284"/>
        </w:trPr>
        <w:tc>
          <w:tcPr>
            <w:tcW w:w="3420" w:type="dxa"/>
            <w:vAlign w:val="bottom"/>
          </w:tcPr>
          <w:p>
            <w:pPr>
              <w:jc w:val="right"/>
              <w:ind w:right="361"/>
              <w:spacing w:after="0"/>
              <w:rPr>
                <w:sz w:val="20"/>
                <w:szCs w:val="20"/>
                <w:color w:val="auto"/>
              </w:rPr>
            </w:pPr>
            <w:r>
              <w:rPr>
                <w:rFonts w:ascii="Arial" w:cs="Arial" w:eastAsia="Arial" w:hAnsi="Arial"/>
                <w:sz w:val="20"/>
                <w:szCs w:val="20"/>
                <w:color w:val="auto"/>
                <w:w w:val="89"/>
              </w:rPr>
              <w:t>Number of Shares Subject to Option:</w:t>
            </w:r>
          </w:p>
        </w:tc>
        <w:tc>
          <w:tcPr>
            <w:tcW w:w="3980" w:type="dxa"/>
            <w:vAlign w:val="bottom"/>
          </w:tcPr>
          <w:p>
            <w:pPr>
              <w:ind w:left="440"/>
              <w:spacing w:after="0"/>
              <w:rPr>
                <w:sz w:val="20"/>
                <w:szCs w:val="20"/>
                <w:color w:val="auto"/>
              </w:rPr>
            </w:pPr>
            <w:r>
              <w:rPr>
                <w:rFonts w:ascii="Arial" w:cs="Arial" w:eastAsia="Arial" w:hAnsi="Arial"/>
                <w:sz w:val="20"/>
                <w:szCs w:val="20"/>
                <w:color w:val="auto"/>
              </w:rPr>
              <w:t>________________________</w:t>
            </w:r>
          </w:p>
        </w:tc>
      </w:tr>
      <w:tr>
        <w:trPr>
          <w:trHeight w:val="284"/>
        </w:trPr>
        <w:tc>
          <w:tcPr>
            <w:tcW w:w="3420" w:type="dxa"/>
            <w:vAlign w:val="bottom"/>
          </w:tcPr>
          <w:p>
            <w:pPr>
              <w:jc w:val="right"/>
              <w:ind w:right="361"/>
              <w:spacing w:after="0"/>
              <w:rPr>
                <w:sz w:val="20"/>
                <w:szCs w:val="20"/>
                <w:color w:val="auto"/>
              </w:rPr>
            </w:pPr>
            <w:r>
              <w:rPr>
                <w:rFonts w:ascii="Arial" w:cs="Arial" w:eastAsia="Arial" w:hAnsi="Arial"/>
                <w:sz w:val="20"/>
                <w:szCs w:val="20"/>
                <w:color w:val="auto"/>
              </w:rPr>
              <w:t>Option Price per Share:</w:t>
            </w:r>
          </w:p>
        </w:tc>
        <w:tc>
          <w:tcPr>
            <w:tcW w:w="3980" w:type="dxa"/>
            <w:vAlign w:val="bottom"/>
          </w:tcPr>
          <w:p>
            <w:pPr>
              <w:ind w:left="440"/>
              <w:spacing w:after="0"/>
              <w:rPr>
                <w:sz w:val="20"/>
                <w:szCs w:val="20"/>
                <w:color w:val="auto"/>
              </w:rPr>
            </w:pPr>
            <w:r>
              <w:rPr>
                <w:rFonts w:ascii="Arial" w:cs="Arial" w:eastAsia="Arial" w:hAnsi="Arial"/>
                <w:sz w:val="20"/>
                <w:szCs w:val="20"/>
                <w:color w:val="auto"/>
              </w:rPr>
              <w:t>________________________</w:t>
            </w:r>
          </w:p>
        </w:tc>
      </w:tr>
      <w:tr>
        <w:trPr>
          <w:trHeight w:val="284"/>
        </w:trPr>
        <w:tc>
          <w:tcPr>
            <w:tcW w:w="3420" w:type="dxa"/>
            <w:vAlign w:val="bottom"/>
          </w:tcPr>
          <w:p>
            <w:pPr>
              <w:jc w:val="right"/>
              <w:ind w:right="361"/>
              <w:spacing w:after="0"/>
              <w:rPr>
                <w:sz w:val="20"/>
                <w:szCs w:val="20"/>
                <w:color w:val="auto"/>
              </w:rPr>
            </w:pPr>
            <w:r>
              <w:rPr>
                <w:rFonts w:ascii="Arial" w:cs="Arial" w:eastAsia="Arial" w:hAnsi="Arial"/>
                <w:sz w:val="20"/>
                <w:szCs w:val="20"/>
                <w:color w:val="auto"/>
              </w:rPr>
              <w:t>Expiration Date:</w:t>
            </w:r>
          </w:p>
        </w:tc>
        <w:tc>
          <w:tcPr>
            <w:tcW w:w="3980" w:type="dxa"/>
            <w:vAlign w:val="bottom"/>
          </w:tcPr>
          <w:p>
            <w:pPr>
              <w:ind w:left="440"/>
              <w:spacing w:after="0"/>
              <w:rPr>
                <w:sz w:val="20"/>
                <w:szCs w:val="20"/>
                <w:color w:val="auto"/>
              </w:rPr>
            </w:pPr>
            <w:r>
              <w:rPr>
                <w:rFonts w:ascii="Arial" w:cs="Arial" w:eastAsia="Arial" w:hAnsi="Arial"/>
                <w:sz w:val="20"/>
                <w:szCs w:val="20"/>
                <w:color w:val="auto"/>
              </w:rPr>
              <w:t>________________________</w:t>
            </w:r>
          </w:p>
        </w:tc>
      </w:tr>
      <w:tr>
        <w:trPr>
          <w:trHeight w:val="263"/>
        </w:trPr>
        <w:tc>
          <w:tcPr>
            <w:tcW w:w="3420" w:type="dxa"/>
            <w:vAlign w:val="bottom"/>
          </w:tcPr>
          <w:p>
            <w:pPr>
              <w:jc w:val="right"/>
              <w:ind w:right="361"/>
              <w:spacing w:after="0"/>
              <w:rPr>
                <w:sz w:val="20"/>
                <w:szCs w:val="20"/>
                <w:color w:val="auto"/>
              </w:rPr>
            </w:pPr>
            <w:r>
              <w:rPr>
                <w:rFonts w:ascii="Arial" w:cs="Arial" w:eastAsia="Arial" w:hAnsi="Arial"/>
                <w:sz w:val="20"/>
                <w:szCs w:val="20"/>
                <w:color w:val="auto"/>
              </w:rPr>
              <w:t>Option Period:</w:t>
            </w:r>
          </w:p>
        </w:tc>
        <w:tc>
          <w:tcPr>
            <w:tcW w:w="3980" w:type="dxa"/>
            <w:vAlign w:val="bottom"/>
          </w:tcPr>
          <w:p>
            <w:pPr>
              <w:ind w:left="440"/>
              <w:spacing w:after="0"/>
              <w:rPr>
                <w:sz w:val="20"/>
                <w:szCs w:val="20"/>
                <w:color w:val="auto"/>
              </w:rPr>
            </w:pPr>
            <w:r>
              <w:rPr>
                <w:rFonts w:ascii="Arial" w:cs="Arial" w:eastAsia="Arial" w:hAnsi="Arial"/>
                <w:sz w:val="20"/>
                <w:szCs w:val="20"/>
                <w:color w:val="auto"/>
                <w:w w:val="88"/>
              </w:rPr>
              <w:t>Begins on Grant Date and continues through</w:t>
            </w:r>
          </w:p>
        </w:tc>
      </w:tr>
      <w:tr>
        <w:trPr>
          <w:trHeight w:val="250"/>
        </w:trPr>
        <w:tc>
          <w:tcPr>
            <w:tcW w:w="3420" w:type="dxa"/>
            <w:vAlign w:val="bottom"/>
          </w:tcPr>
          <w:p>
            <w:pPr>
              <w:spacing w:after="0"/>
              <w:rPr>
                <w:sz w:val="21"/>
                <w:szCs w:val="21"/>
                <w:color w:val="auto"/>
              </w:rPr>
            </w:pPr>
          </w:p>
        </w:tc>
        <w:tc>
          <w:tcPr>
            <w:tcW w:w="3980" w:type="dxa"/>
            <w:vAlign w:val="bottom"/>
          </w:tcPr>
          <w:p>
            <w:pPr>
              <w:ind w:left="440"/>
              <w:spacing w:after="0"/>
              <w:rPr>
                <w:sz w:val="20"/>
                <w:szCs w:val="20"/>
                <w:color w:val="auto"/>
              </w:rPr>
            </w:pPr>
            <w:r>
              <w:rPr>
                <w:rFonts w:ascii="Arial" w:cs="Arial" w:eastAsia="Arial" w:hAnsi="Arial"/>
                <w:sz w:val="20"/>
                <w:szCs w:val="20"/>
                <w:color w:val="auto"/>
              </w:rPr>
              <w:t>Expiration Date.</w:t>
            </w:r>
          </w:p>
        </w:tc>
      </w:tr>
    </w:tbl>
    <w:p>
      <w:pPr>
        <w:spacing w:after="0" w:line="236" w:lineRule="exact"/>
        <w:rPr>
          <w:sz w:val="20"/>
          <w:szCs w:val="20"/>
          <w:color w:val="auto"/>
        </w:rPr>
      </w:pPr>
    </w:p>
    <w:p>
      <w:pPr>
        <w:ind w:left="1000" w:hanging="344"/>
        <w:spacing w:after="0"/>
        <w:tabs>
          <w:tab w:leader="none" w:pos="10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Vesting of Option. </w:t>
      </w:r>
      <w:r>
        <w:rPr>
          <w:rFonts w:ascii="Arial" w:cs="Arial" w:eastAsia="Arial" w:hAnsi="Arial"/>
          <w:sz w:val="20"/>
          <w:szCs w:val="20"/>
          <w:i w:val="1"/>
          <w:iCs w:val="1"/>
          <w:color w:val="auto"/>
        </w:rPr>
        <w:t>[Modify vesting schedule as appropriate.]</w:t>
      </w:r>
    </w:p>
    <w:p>
      <w:pPr>
        <w:spacing w:after="0" w:line="229"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20"/>
          <w:szCs w:val="20"/>
          <w:color w:val="auto"/>
        </w:rPr>
      </w:pPr>
      <w:r>
        <w:rPr>
          <w:rFonts w:ascii="Arial" w:cs="Arial" w:eastAsia="Arial" w:hAnsi="Arial"/>
          <w:sz w:val="20"/>
          <w:szCs w:val="20"/>
          <w:i w:val="1"/>
          <w:iCs w:val="1"/>
          <w:color w:val="auto"/>
        </w:rPr>
        <w:t>General:</w:t>
      </w:r>
    </w:p>
    <w:p>
      <w:pPr>
        <w:spacing w:after="0" w:line="229" w:lineRule="exact"/>
        <w:rPr>
          <w:sz w:val="20"/>
          <w:szCs w:val="20"/>
          <w:color w:val="auto"/>
        </w:rPr>
      </w:pPr>
    </w:p>
    <w:p>
      <w:pPr>
        <w:jc w:val="both"/>
        <w:ind w:firstLine="656"/>
        <w:spacing w:after="0" w:line="250" w:lineRule="auto"/>
        <w:tabs>
          <w:tab w:leader="none" w:pos="111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Option shall be deemed vested with respect to twenty-five percent (25%) of the Shares subject to the Option on the first anniversary of the Grant Date, subject to the continued employment of the Participant with the Company or an Affiliate through such vesting date;.</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1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Option shall be deemed vested with respect to an additional twenty-five percent (25%) (for a total of fifty percent (50%)) of the Shares subject to the Option on the second anniversary of the Grant Date, subject to the continued employment of the Participant with the Company or an Affiliate through such vesting date;</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9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Option shall be deemed vested with respect to an additional twenty-five percent (25%) (for a total of seventy-five percent (75%)) of the Shares subject to the Option on the third anniversary of the Grant Date, subject to the continued employment of the Participant with the Company or an Affiliate through such vesting date; and</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7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Option shall be deemed vested with respect to an additional twenty-five percent (25%) (for a total of one hundred percent (100%)) of the Shares subject to the Option on the fourth anniversary of the Grant Date, subject to the continued employment of the Participant with the Company or an Affiliate through such vesting date.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Updated February 2016</w:t>
      </w:r>
    </w:p>
    <w:p>
      <w:pPr>
        <w:sectPr>
          <w:pgSz w:w="11900" w:h="16838" w:orient="portrait"/>
          <w:cols w:equalWidth="0" w:num="1">
            <w:col w:w="11420"/>
          </w:cols>
          <w:pgMar w:left="240" w:top="360" w:right="239" w:bottom="1440" w:gutter="0" w:footer="0" w:header="0"/>
        </w:sectPr>
      </w:pPr>
    </w:p>
    <w:bookmarkStart w:id="165" w:name="page166"/>
    <w:bookmarkEnd w:id="165"/>
    <w:p>
      <w:pPr>
        <w:jc w:val="both"/>
        <w:ind w:firstLine="656"/>
        <w:spacing w:after="0" w:line="246" w:lineRule="auto"/>
        <w:tabs>
          <w:tab w:leader="none" w:pos="1104" w:val="left"/>
        </w:tabs>
        <w:numPr>
          <w:ilvl w:val="0"/>
          <w:numId w:val="102"/>
        </w:numPr>
        <w:rPr>
          <w:rFonts w:ascii="Arial" w:cs="Arial" w:eastAsia="Arial" w:hAnsi="Arial"/>
          <w:sz w:val="20"/>
          <w:szCs w:val="20"/>
          <w:color w:val="auto"/>
        </w:rPr>
      </w:pPr>
      <w:r>
        <w:rPr>
          <w:rFonts w:ascii="Arial" w:cs="Arial" w:eastAsia="Arial" w:hAnsi="Arial"/>
          <w:sz w:val="20"/>
          <w:szCs w:val="20"/>
          <w:i w:val="1"/>
          <w:iCs w:val="1"/>
          <w:color w:val="auto"/>
        </w:rPr>
        <w:t>Special Post-Termination Vesting and Exercise Terms</w:t>
      </w:r>
      <w:r>
        <w:rPr>
          <w:rFonts w:ascii="Arial" w:cs="Arial" w:eastAsia="Arial" w:hAnsi="Arial"/>
          <w:sz w:val="20"/>
          <w:szCs w:val="20"/>
          <w:color w:val="auto"/>
        </w:rPr>
        <w:t>: Notwithstanding the vesting provisions of Section 2(a) of Schedule A and</w:t>
      </w:r>
      <w:r>
        <w:rPr>
          <w:rFonts w:ascii="Arial" w:cs="Arial" w:eastAsia="Arial" w:hAnsi="Arial"/>
          <w:sz w:val="20"/>
          <w:szCs w:val="20"/>
          <w:i w:val="1"/>
          <w:iCs w:val="1"/>
          <w:color w:val="auto"/>
        </w:rPr>
        <w:t xml:space="preserve"> </w:t>
      </w:r>
      <w:r>
        <w:rPr>
          <w:rFonts w:ascii="Arial" w:cs="Arial" w:eastAsia="Arial" w:hAnsi="Arial"/>
          <w:sz w:val="20"/>
          <w:szCs w:val="20"/>
          <w:color w:val="auto"/>
        </w:rPr>
        <w:t>Section 5 of the Agreement, in the event of the Participant's termination of employment or service for any reason (including termination due to Disability) other than death or for Cause, the following terms shall apply with respect to the Option, provided that the Participant resides in and is employed by the Company or an Affiliate based in the United States:</w:t>
      </w:r>
    </w:p>
    <w:p>
      <w:pPr>
        <w:spacing w:after="0" w:line="205" w:lineRule="exact"/>
        <w:rPr>
          <w:sz w:val="20"/>
          <w:szCs w:val="20"/>
          <w:color w:val="auto"/>
        </w:rPr>
      </w:pPr>
    </w:p>
    <w:p>
      <w:pPr>
        <w:jc w:val="both"/>
        <w:ind w:firstLine="656"/>
        <w:spacing w:after="0" w:line="244" w:lineRule="auto"/>
        <w:tabs>
          <w:tab w:leader="none" w:pos="115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If the Participant (A) has executed, within the Statutory Notice Period, a Release and, if so determined by the Company, a Severance Agreement, (B) does not revoke the Release prior to the end of the seven-day statutory revocation period, and (C) satisfies the Post-Employment Condition, then the Option shall continue to vest according to the vesting schedule stated in Section 2(a) above as if the Participant had remained an employee of, or service provider to, the Company or an Affiliate and shall remain exercisable for the remainder of the Option Period.</w:t>
      </w:r>
    </w:p>
    <w:p>
      <w:pPr>
        <w:spacing w:after="0" w:line="208" w:lineRule="exact"/>
        <w:rPr>
          <w:rFonts w:ascii="Arial" w:cs="Arial" w:eastAsia="Arial" w:hAnsi="Arial"/>
          <w:sz w:val="20"/>
          <w:szCs w:val="20"/>
          <w:color w:val="auto"/>
        </w:rPr>
      </w:pPr>
    </w:p>
    <w:p>
      <w:pPr>
        <w:jc w:val="both"/>
        <w:ind w:firstLine="656"/>
        <w:spacing w:after="0" w:line="269" w:lineRule="auto"/>
        <w:tabs>
          <w:tab w:leader="none" w:pos="114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the Participant fails to execute such Release and, if applicable, Severance Agreement, within the Statutory Notice Period, or revokes the Release prior to the end of the seven-day statutory revocation period, or violates the Post-Employment Condition, the Option (and any remaining right to underlying Shares) shall be deemed forfeited in its entirety as of the Termination Date.</w:t>
      </w:r>
    </w:p>
    <w:p>
      <w:pPr>
        <w:spacing w:after="0" w:line="183" w:lineRule="exact"/>
        <w:rPr>
          <w:rFonts w:ascii="Arial" w:cs="Arial" w:eastAsia="Arial" w:hAnsi="Arial"/>
          <w:sz w:val="19"/>
          <w:szCs w:val="19"/>
          <w:color w:val="auto"/>
        </w:rPr>
      </w:pPr>
    </w:p>
    <w:p>
      <w:pPr>
        <w:jc w:val="both"/>
        <w:ind w:firstLine="656"/>
        <w:spacing w:after="0" w:line="270" w:lineRule="auto"/>
        <w:tabs>
          <w:tab w:leader="none" w:pos="120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Administrator determines in the exercise of its discretion that the Participant has committed a breach or violation of the Release, the Severance Agreement, the ICN Agreement or the Post-Employment Condition at any time on or prior to the end of the Post-Termination Period (without regard to when the Administrator first discovers or has notice of any such breach or violation), then, in addition to any other remedies available to the Company at law or in equity as a result of such breach or violation, (A) the Option (and any remaining right to underlying Shares) shall immediately be forfeited in its entirety; (B) any Shares subject to the Option that were acquired upon exercise following the Participant’s Termination Date shall immediately be forfeited and returned to the Company without the payment by the Company of any consideration for such Shares (including repayment of any amount paid by the Participant with respect to taxes related to the grant or exercise of the Option), other than repayment of the original purchase price for the Shares, and the Participant shall cease to have any interest in or right to such Shares and shall cease to be recognized as the legal owner of such Shares; and (C)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2.</w:t>
      </w:r>
    </w:p>
    <w:p>
      <w:pPr>
        <w:spacing w:after="0" w:line="190" w:lineRule="exact"/>
        <w:rPr>
          <w:rFonts w:ascii="Arial" w:cs="Arial" w:eastAsia="Arial" w:hAnsi="Arial"/>
          <w:sz w:val="18"/>
          <w:szCs w:val="18"/>
          <w:color w:val="auto"/>
        </w:rPr>
      </w:pPr>
    </w:p>
    <w:p>
      <w:pPr>
        <w:jc w:val="both"/>
        <w:ind w:firstLine="656"/>
        <w:spacing w:after="0" w:line="250" w:lineRule="auto"/>
        <w:tabs>
          <w:tab w:leader="none" w:pos="116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If, during the Post-Termination Period, the Participant dies, to the extent that the Option is not fully vested as of the date of the Participant’s death, the Option shall automatically fully vest effective as of the date of the Participant’s death and shall be exercisable as provided in Section 5(c) of the Agreement.</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14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Option, to the extent it is designated as an Incentive Option, shall cease to qualify as such in the event it is not exercised within three months following the Participant's termination of employment (or one year in the event of termination of employment due to Disability).</w:t>
      </w:r>
    </w:p>
    <w:p>
      <w:pPr>
        <w:spacing w:after="0" w:line="200" w:lineRule="exact"/>
        <w:rPr>
          <w:sz w:val="20"/>
          <w:szCs w:val="20"/>
          <w:color w:val="auto"/>
        </w:rPr>
      </w:pPr>
    </w:p>
    <w:p>
      <w:pPr>
        <w:ind w:left="1100" w:hanging="444"/>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In addition to other terms defined herein or in the Agreement, the following terms shall have the meanings given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825" w:right="239" w:bottom="1440" w:gutter="0" w:footer="0" w:header="0"/>
        </w:sectPr>
      </w:pPr>
    </w:p>
    <w:bookmarkStart w:id="166" w:name="page167"/>
    <w:bookmarkEnd w:id="166"/>
    <w:p>
      <w:pPr>
        <w:ind w:firstLine="656"/>
        <w:spacing w:after="0" w:line="289" w:lineRule="auto"/>
        <w:tabs>
          <w:tab w:leader="none" w:pos="101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 less the aggregate purchase price paid for the Shares.</w:t>
      </w:r>
    </w:p>
    <w:p>
      <w:pPr>
        <w:spacing w:after="0" w:line="188" w:lineRule="exact"/>
        <w:rPr>
          <w:rFonts w:ascii="Arial" w:cs="Arial" w:eastAsia="Arial" w:hAnsi="Arial"/>
          <w:sz w:val="20"/>
          <w:szCs w:val="20"/>
          <w:color w:val="auto"/>
        </w:rPr>
      </w:pPr>
    </w:p>
    <w:p>
      <w:pPr>
        <w:ind w:right="20" w:firstLine="656"/>
        <w:spacing w:after="0" w:line="265" w:lineRule="auto"/>
        <w:tabs>
          <w:tab w:leader="none" w:pos="1160" w:val="left"/>
        </w:tabs>
        <w:numPr>
          <w:ilvl w:val="0"/>
          <w:numId w:val="105"/>
        </w:numPr>
        <w:rPr>
          <w:rFonts w:ascii="Arial" w:cs="Arial" w:eastAsia="Arial" w:hAnsi="Arial"/>
          <w:sz w:val="22"/>
          <w:szCs w:val="22"/>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209" w:lineRule="exact"/>
        <w:rPr>
          <w:rFonts w:ascii="Arial" w:cs="Arial" w:eastAsia="Arial" w:hAnsi="Arial"/>
          <w:sz w:val="22"/>
          <w:szCs w:val="22"/>
          <w:color w:val="auto"/>
        </w:rPr>
      </w:pPr>
    </w:p>
    <w:p>
      <w:pPr>
        <w:jc w:val="both"/>
        <w:ind w:firstLine="656"/>
        <w:spacing w:after="0" w:line="265" w:lineRule="auto"/>
        <w:tabs>
          <w:tab w:leader="none" w:pos="1179" w:val="left"/>
        </w:tabs>
        <w:numPr>
          <w:ilvl w:val="0"/>
          <w:numId w:val="105"/>
        </w:numPr>
        <w:rPr>
          <w:rFonts w:ascii="Arial" w:cs="Arial" w:eastAsia="Arial" w:hAnsi="Arial"/>
          <w:sz w:val="22"/>
          <w:szCs w:val="22"/>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212" w:lineRule="exact"/>
        <w:rPr>
          <w:rFonts w:ascii="Arial" w:cs="Arial" w:eastAsia="Arial" w:hAnsi="Arial"/>
          <w:sz w:val="22"/>
          <w:szCs w:val="22"/>
          <w:color w:val="auto"/>
        </w:rPr>
      </w:pPr>
    </w:p>
    <w:p>
      <w:pPr>
        <w:ind w:firstLine="656"/>
        <w:spacing w:after="0" w:line="265" w:lineRule="auto"/>
        <w:tabs>
          <w:tab w:leader="none" w:pos="1167" w:val="left"/>
        </w:tabs>
        <w:numPr>
          <w:ilvl w:val="0"/>
          <w:numId w:val="105"/>
        </w:numPr>
        <w:rPr>
          <w:rFonts w:ascii="Arial" w:cs="Arial" w:eastAsia="Arial" w:hAnsi="Arial"/>
          <w:sz w:val="22"/>
          <w:szCs w:val="22"/>
          <w:color w:val="auto"/>
        </w:rPr>
      </w:pPr>
      <w:r>
        <w:rPr>
          <w:rFonts w:ascii="Arial" w:cs="Arial" w:eastAsia="Arial" w:hAnsi="Arial"/>
          <w:sz w:val="20"/>
          <w:szCs w:val="20"/>
          <w:color w:val="auto"/>
        </w:rPr>
        <w:t>“Post-Termination Period” means the period commencing on the Participant’s Termination Date and ending on the date that the last installment of the Option vests under this Agreement.</w:t>
      </w:r>
    </w:p>
    <w:p>
      <w:pPr>
        <w:spacing w:after="0" w:line="209" w:lineRule="exact"/>
        <w:rPr>
          <w:rFonts w:ascii="Arial" w:cs="Arial" w:eastAsia="Arial" w:hAnsi="Arial"/>
          <w:sz w:val="22"/>
          <w:szCs w:val="22"/>
          <w:color w:val="auto"/>
        </w:rPr>
      </w:pPr>
    </w:p>
    <w:p>
      <w:pPr>
        <w:jc w:val="both"/>
        <w:ind w:firstLine="656"/>
        <w:spacing w:after="0" w:line="265" w:lineRule="auto"/>
        <w:tabs>
          <w:tab w:leader="none" w:pos="1215" w:val="left"/>
        </w:tabs>
        <w:numPr>
          <w:ilvl w:val="0"/>
          <w:numId w:val="105"/>
        </w:numPr>
        <w:rPr>
          <w:rFonts w:ascii="Arial" w:cs="Arial" w:eastAsia="Arial" w:hAnsi="Arial"/>
          <w:sz w:val="22"/>
          <w:szCs w:val="22"/>
          <w:color w:val="auto"/>
        </w:rPr>
      </w:pPr>
      <w:r>
        <w:rPr>
          <w:rFonts w:ascii="Arial" w:cs="Arial" w:eastAsia="Arial" w:hAnsi="Arial"/>
          <w:sz w:val="20"/>
          <w:szCs w:val="20"/>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212" w:lineRule="exact"/>
        <w:rPr>
          <w:rFonts w:ascii="Arial" w:cs="Arial" w:eastAsia="Arial" w:hAnsi="Arial"/>
          <w:sz w:val="22"/>
          <w:szCs w:val="22"/>
          <w:color w:val="auto"/>
        </w:rPr>
      </w:pPr>
    </w:p>
    <w:p>
      <w:pPr>
        <w:jc w:val="both"/>
        <w:ind w:firstLine="656"/>
        <w:spacing w:after="0" w:line="265" w:lineRule="auto"/>
        <w:tabs>
          <w:tab w:leader="none" w:pos="1167" w:val="left"/>
        </w:tabs>
        <w:numPr>
          <w:ilvl w:val="0"/>
          <w:numId w:val="105"/>
        </w:numPr>
        <w:rPr>
          <w:rFonts w:ascii="Arial" w:cs="Arial" w:eastAsia="Arial" w:hAnsi="Arial"/>
          <w:sz w:val="22"/>
          <w:szCs w:val="22"/>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212" w:lineRule="exact"/>
        <w:rPr>
          <w:rFonts w:ascii="Arial" w:cs="Arial" w:eastAsia="Arial" w:hAnsi="Arial"/>
          <w:sz w:val="22"/>
          <w:szCs w:val="22"/>
          <w:color w:val="auto"/>
        </w:rPr>
      </w:pPr>
    </w:p>
    <w:p>
      <w:pPr>
        <w:ind w:firstLine="656"/>
        <w:spacing w:after="0" w:line="265" w:lineRule="auto"/>
        <w:tabs>
          <w:tab w:leader="none" w:pos="1254" w:val="left"/>
        </w:tabs>
        <w:numPr>
          <w:ilvl w:val="0"/>
          <w:numId w:val="105"/>
        </w:numPr>
        <w:rPr>
          <w:rFonts w:ascii="Arial" w:cs="Arial" w:eastAsia="Arial" w:hAnsi="Arial"/>
          <w:sz w:val="22"/>
          <w:szCs w:val="22"/>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79" w:right="239" w:bottom="1440" w:gutter="0" w:footer="0" w:header="0"/>
        </w:sectPr>
      </w:pPr>
    </w:p>
    <w:bookmarkStart w:id="167" w:name="page168"/>
    <w:bookmarkEnd w:id="167"/>
    <w:p>
      <w:pPr>
        <w:jc w:val="both"/>
        <w:ind w:firstLine="648"/>
        <w:spacing w:after="0" w:line="243" w:lineRule="auto"/>
        <w:rPr>
          <w:sz w:val="20"/>
          <w:szCs w:val="20"/>
          <w:color w:val="auto"/>
        </w:rPr>
      </w:pPr>
      <w:r>
        <w:rPr>
          <w:rFonts w:ascii="Arial" w:cs="Arial" w:eastAsia="Arial" w:hAnsi="Arial"/>
          <w:sz w:val="20"/>
          <w:szCs w:val="20"/>
          <w:color w:val="auto"/>
        </w:rPr>
        <w:t xml:space="preserve">By my signature below, I, the Participant, hereby acknowledge receipt of this Grant Letter and the Agreement, including any special terms and conditions for my country in the Appendix attached thereto. I understand that the Grant Letter and its provisions are incorporated by reference into the Agreement and constitute a part of the Agreement. </w:t>
      </w:r>
      <w:r>
        <w:rPr>
          <w:rFonts w:ascii="Arial" w:cs="Arial" w:eastAsia="Arial" w:hAnsi="Arial"/>
          <w:sz w:val="20"/>
          <w:szCs w:val="20"/>
          <w:u w:val="single" w:color="auto"/>
          <w:color w:val="auto"/>
        </w:rPr>
        <w:t>By my signature below, I further agree to be bound by the terms of 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Plan and the Agreement, including but not limited to the terms of the Grant Letter. The Company reserves the right to treat the Option and the Agreement as cancelled, void and of no effect if the Participant fails to return a signed copy of the Grant Letter within thirty (30) days of receipt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0"/>
        <w:spacing w:after="0"/>
        <w:tabs>
          <w:tab w:leader="none" w:pos="8300" w:val="left"/>
        </w:tabs>
        <w:rPr>
          <w:sz w:val="20"/>
          <w:szCs w:val="20"/>
          <w:color w:val="auto"/>
        </w:rPr>
      </w:pPr>
      <w:r>
        <w:rPr>
          <w:rFonts w:ascii="Arial" w:cs="Arial" w:eastAsia="Arial" w:hAnsi="Arial"/>
          <w:sz w:val="20"/>
          <w:szCs w:val="20"/>
          <w:color w:val="auto"/>
        </w:rPr>
        <w:t>Signature:__________________________________________________</w:t>
      </w:r>
      <w:r>
        <w:rPr>
          <w:sz w:val="20"/>
          <w:szCs w:val="20"/>
          <w:color w:val="auto"/>
        </w:rPr>
        <w:tab/>
      </w:r>
      <w:r>
        <w:rPr>
          <w:rFonts w:ascii="Arial" w:cs="Arial" w:eastAsia="Arial" w:hAnsi="Arial"/>
          <w:sz w:val="16"/>
          <w:szCs w:val="16"/>
          <w:color w:val="auto"/>
        </w:rPr>
        <w:t>Date: 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812"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(Service-Based Award for Senior Officers)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THIS AGREEMENT, including any special terms and conditions for the Participant’s country set forth in the appendix attached hereto (the “Appendix”) (together with Schedule A, attached hereto, the “Agreement”), is made effective as of the Grant Date (as defined in Section 2 below) between QORVO, INC., a Delaware corporation (the “Company”), and </w:t>
      </w:r>
      <w:r>
        <w:rPr>
          <w:rFonts w:ascii="Arial" w:cs="Arial" w:eastAsia="Arial" w:hAnsi="Arial"/>
          <w:sz w:val="20"/>
          <w:szCs w:val="20"/>
          <w:b w:val="1"/>
          <w:bCs w:val="1"/>
          <w:color w:val="auto"/>
        </w:rPr>
        <w:t>_________________</w:t>
      </w:r>
      <w:r>
        <w:rPr>
          <w:rFonts w:ascii="Arial" w:cs="Arial" w:eastAsia="Arial" w:hAnsi="Arial"/>
          <w:sz w:val="20"/>
          <w:szCs w:val="20"/>
          <w:color w:val="auto"/>
        </w:rPr>
        <w:t>, an Employee of, or individual in service to, the Company or an Affiliate (the “Participant”).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furtherance of the purposes of the Qorvo, Inc. 2012 Stock Incentive Plan (As Assumed by Qorvo, Inc. and Amended and Restated Effective January 1, 2015) (Formerly, the RF Micro Devices, Inc. 2012 Stock Incentive Plan), as it may be amended (the “Plan”), the Company and the Participant hereby agree as follows:</w:t>
      </w:r>
    </w:p>
    <w:p>
      <w:pPr>
        <w:spacing w:after="0" w:line="200" w:lineRule="exact"/>
        <w:rPr>
          <w:sz w:val="20"/>
          <w:szCs w:val="20"/>
          <w:color w:val="auto"/>
        </w:rPr>
      </w:pPr>
    </w:p>
    <w:p>
      <w:pPr>
        <w:jc w:val="both"/>
        <w:ind w:firstLine="656"/>
        <w:spacing w:after="0" w:line="314" w:lineRule="auto"/>
        <w:tabs>
          <w:tab w:leader="none" w:pos="144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the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45" w:lineRule="exact"/>
        <w:rPr>
          <w:rFonts w:ascii="Arial" w:cs="Arial" w:eastAsia="Arial" w:hAnsi="Arial"/>
          <w:sz w:val="18"/>
          <w:szCs w:val="18"/>
          <w:color w:val="auto"/>
        </w:rPr>
      </w:pPr>
    </w:p>
    <w:p>
      <w:pPr>
        <w:ind w:left="980" w:hanging="324"/>
        <w:spacing w:after="0"/>
        <w:tabs>
          <w:tab w:leader="none" w:pos="98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Terms of Award</w:t>
      </w:r>
      <w:r>
        <w:rPr>
          <w:rFonts w:ascii="Arial" w:cs="Arial" w:eastAsia="Arial" w:hAnsi="Arial"/>
          <w:sz w:val="20"/>
          <w:szCs w:val="20"/>
          <w:color w:val="auto"/>
        </w:rPr>
        <w:t>. The following terms used in this Agreement shall have the meanings set forth in this Section 2:</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“Participant” is ____________________. Participant ID# _________.</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“Grant Date” is ____________________.</w:t>
      </w:r>
    </w:p>
    <w:p>
      <w:pPr>
        <w:spacing w:after="0" w:line="215" w:lineRule="exact"/>
        <w:rPr>
          <w:rFonts w:ascii="Arial" w:cs="Arial" w:eastAsia="Arial" w:hAnsi="Arial"/>
          <w:sz w:val="20"/>
          <w:szCs w:val="20"/>
          <w:color w:val="auto"/>
        </w:rPr>
      </w:pPr>
    </w:p>
    <w:p>
      <w:pPr>
        <w:ind w:left="660" w:firstLine="645"/>
        <w:spacing w:after="0" w:line="316" w:lineRule="auto"/>
        <w:tabs>
          <w:tab w:leader="none" w:pos="174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“Restriction Period” is the period beginning on the Grant Date and ending on such date or dates and occurrence of such conditions as described in Schedule A, which is attached hereto and expressly made a part of this Agreement.</w:t>
      </w:r>
    </w:p>
    <w:p>
      <w:pPr>
        <w:spacing w:after="0" w:line="130" w:lineRule="exact"/>
        <w:rPr>
          <w:rFonts w:ascii="Arial" w:cs="Arial" w:eastAsia="Arial" w:hAnsi="Arial"/>
          <w:sz w:val="18"/>
          <w:szCs w:val="18"/>
          <w:color w:val="auto"/>
        </w:rPr>
      </w:pPr>
    </w:p>
    <w:p>
      <w:pPr>
        <w:ind w:left="660" w:firstLine="645"/>
        <w:spacing w:after="0" w:line="260" w:lineRule="auto"/>
        <w:tabs>
          <w:tab w:leader="none" w:pos="1787"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number of shares of Common Stock subject to the award of Restricted Stock Units granted under this Agreement shall be ____________ shares (the “Shares”).</w:t>
      </w:r>
    </w:p>
    <w:p>
      <w:pPr>
        <w:spacing w:after="0" w:line="190" w:lineRule="exact"/>
        <w:rPr>
          <w:rFonts w:ascii="Arial" w:cs="Arial" w:eastAsia="Arial" w:hAnsi="Arial"/>
          <w:sz w:val="20"/>
          <w:szCs w:val="20"/>
          <w:color w:val="auto"/>
        </w:rPr>
      </w:pPr>
    </w:p>
    <w:p>
      <w:pPr>
        <w:jc w:val="both"/>
        <w:ind w:firstLine="656"/>
        <w:spacing w:after="0" w:line="310" w:lineRule="auto"/>
        <w:tabs>
          <w:tab w:leader="none" w:pos="103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xml:space="preserve">. Subject to the terms of this Agreement and the Plan, the Company hereby grants the Participant an award of Restricted Stock Units (the “Award”) for that number of Shares as is set forth in Section 2. </w:t>
      </w:r>
      <w:r>
        <w:rPr>
          <w:rFonts w:ascii="Arial" w:cs="Arial" w:eastAsia="Arial" w:hAnsi="Arial"/>
          <w:sz w:val="18"/>
          <w:szCs w:val="18"/>
          <w:u w:val="single" w:color="auto"/>
          <w:color w:val="auto"/>
        </w:rPr>
        <w:t>The Participant expressly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acknowledges that the terms of Schedule A shall be incorporated herein by reference and shall constitute part of this Agreement. The Company and the Participant further acknowledge that the Company’s signature on the signature page hereof, and the Participant</w:t>
      </w:r>
      <w:r>
        <w:rPr>
          <w:rFonts w:ascii="Arial" w:cs="Arial" w:eastAsia="Arial" w:hAnsi="Arial"/>
          <w:sz w:val="19"/>
          <w:szCs w:val="19"/>
          <w:u w:val="single" w:color="auto"/>
          <w:color w:val="auto"/>
        </w:rPr>
        <w:t>'</w:t>
      </w:r>
      <w:r>
        <w:rPr>
          <w:rFonts w:ascii="Arial" w:cs="Arial" w:eastAsia="Arial" w:hAnsi="Arial"/>
          <w:sz w:val="18"/>
          <w:szCs w:val="18"/>
          <w:u w:val="single" w:color="auto"/>
          <w:color w:val="auto"/>
        </w:rPr>
        <w:t>s signature on the Grant Letter contained in Schedule A, shall constitute their acceptance of all of the terms of this Agreement.</w:t>
      </w:r>
    </w:p>
    <w:p>
      <w:pPr>
        <w:spacing w:after="0" w:line="147" w:lineRule="exact"/>
        <w:rPr>
          <w:rFonts w:ascii="Arial" w:cs="Arial" w:eastAsia="Arial" w:hAnsi="Arial"/>
          <w:sz w:val="18"/>
          <w:szCs w:val="18"/>
          <w:color w:val="auto"/>
        </w:rPr>
      </w:pPr>
    </w:p>
    <w:p>
      <w:pPr>
        <w:jc w:val="both"/>
        <w:ind w:firstLine="656"/>
        <w:spacing w:after="0" w:line="250" w:lineRule="auto"/>
        <w:tabs>
          <w:tab w:leader="none" w:pos="99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The Participant or his or her legal representatives, legatees or distributees shall not be deemed to be the holder of any Shares subject to the Award and shall not have any dividend rights (except as otherwise provided in Section 3 of Schedule A), voting rights or other rights as a</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0" w:right="239" w:bottom="1440" w:gutter="0" w:footer="0" w:header="0"/>
        </w:sectPr>
      </w:pPr>
    </w:p>
    <w:bookmarkStart w:id="169" w:name="page170"/>
    <w:bookmarkEnd w:id="169"/>
    <w:p>
      <w:pPr>
        <w:jc w:val="both"/>
        <w:spacing w:after="0" w:line="250" w:lineRule="auto"/>
        <w:rPr>
          <w:sz w:val="20"/>
          <w:szCs w:val="20"/>
          <w:color w:val="auto"/>
        </w:rPr>
      </w:pPr>
      <w:r>
        <w:rPr>
          <w:rFonts w:ascii="Arial" w:cs="Arial" w:eastAsia="Arial" w:hAnsi="Arial"/>
          <w:sz w:val="20"/>
          <w:szCs w:val="20"/>
          <w:color w:val="auto"/>
        </w:rPr>
        <w:t>stockholder unless and until (and then only to the extent that) the Award has vested and certificates for such Shares have been issued and delivered to him, her or them (or, in the case of uncertificated shares, other written evidence of ownership in accordance with Applicable Law shall have been provided).</w:t>
      </w:r>
    </w:p>
    <w:p>
      <w:pPr>
        <w:spacing w:after="0" w:line="186" w:lineRule="exact"/>
        <w:rPr>
          <w:sz w:val="20"/>
          <w:szCs w:val="20"/>
          <w:color w:val="auto"/>
        </w:rPr>
      </w:pPr>
    </w:p>
    <w:p>
      <w:pPr>
        <w:jc w:val="both"/>
        <w:ind w:firstLine="656"/>
        <w:spacing w:after="0" w:line="255" w:lineRule="auto"/>
        <w:tabs>
          <w:tab w:leader="none" w:pos="990"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Vesting and Earning of Award</w:t>
      </w:r>
      <w:r>
        <w:rPr>
          <w:rFonts w:ascii="Arial" w:cs="Arial" w:eastAsia="Arial" w:hAnsi="Arial"/>
          <w:sz w:val="19"/>
          <w:szCs w:val="19"/>
          <w:color w:val="auto"/>
        </w:rPr>
        <w:t xml:space="preserve">. Subject to the terms of the Plan and this Agreement, the Award shall be deemed vested and earned, and the Shares subject to the Award shall be distributable as provided in Section 7 herein, upon such date or dates, and subject to such conditions, as are described in this Agreement, including Section 2 of Schedule A. Without limiting the effect of the foregoing, the Shares subject to the Award may vest in installments over a period of time, if so provided in Schedule A. </w:t>
      </w:r>
      <w:r>
        <w:rPr>
          <w:rFonts w:ascii="Arial" w:cs="Arial" w:eastAsia="Arial" w:hAnsi="Arial"/>
          <w:sz w:val="19"/>
          <w:szCs w:val="19"/>
          <w:u w:val="single" w:color="auto"/>
          <w:color w:val="auto"/>
        </w:rPr>
        <w:t>The Participant expressly acknowledges that</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Award shall vest only upon such terms and conditions as are provided in this Agreement (including but not limited to Schedule A) and otherwise in accordance with the terms of the Plan</w:t>
      </w:r>
      <w:r>
        <w:rPr>
          <w:rFonts w:ascii="Arial" w:cs="Arial" w:eastAsia="Arial" w:hAnsi="Arial"/>
          <w:sz w:val="19"/>
          <w:szCs w:val="19"/>
          <w:color w:val="auto"/>
        </w:rPr>
        <w:t>. Without limiting the effect of the foregoing, the Participant understands and agrees that the Administrator may delay the vesting of the Award (or portion thereof) and the issuance of the underlying Shares in order to comply with Applicable Law or applicable policies of the Company implemented to ensure compliance with such laws (including but not limited to insider trading provisions and the Company's insider trading policy); provided, however, that any such delay in vesting of the Award or issuance of Shares shall not apply to any Shares subject to an effective Rule 10b5-1 trading plan. The Administrator has sole authority to determine whether and to what degree the Award has vested and been earned and is payable and to interpret the terms and conditions of this Agreement and the Plan.</w:t>
      </w:r>
    </w:p>
    <w:p>
      <w:pPr>
        <w:spacing w:after="0" w:line="185" w:lineRule="exact"/>
        <w:rPr>
          <w:rFonts w:ascii="Arial" w:cs="Arial" w:eastAsia="Arial" w:hAnsi="Arial"/>
          <w:sz w:val="19"/>
          <w:szCs w:val="19"/>
          <w:color w:val="auto"/>
        </w:rPr>
      </w:pPr>
    </w:p>
    <w:p>
      <w:pPr>
        <w:jc w:val="both"/>
        <w:ind w:firstLine="656"/>
        <w:spacing w:after="0" w:line="271" w:lineRule="auto"/>
        <w:tabs>
          <w:tab w:leader="none" w:pos="103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Forfeiture of Award</w:t>
      </w:r>
      <w:r>
        <w:rPr>
          <w:rFonts w:ascii="Arial" w:cs="Arial" w:eastAsia="Arial" w:hAnsi="Arial"/>
          <w:sz w:val="18"/>
          <w:szCs w:val="18"/>
          <w:color w:val="auto"/>
        </w:rPr>
        <w:t>. Except as may be otherwise provided in the Plan or this Agreement (including but not limited to Schedule A), in the event the employment or service of the Participant is terminated for any reason (whether by the Company or an Affilicate or by the Participant, whether voluntary or involuntary, and regardless of the reason for such termination and whether or not found to be invalid or in breach of employment laws in the jurisdiction where the Participant is rendering services or the terms of his or her employment or service agreement, if any) and all or part of the Award has not been earned or vested as of the Participant’s Termination Date pursuant to the terms of this Agreement, then the Award, to the extent not vested as of the Participant’s Termination Date, shall be forfeited immediately upon such termination, and the Participant shall have no further rights with respect to the Award or the Shares underlying that portion of the Award that has not yet been earned and vested. The Participant expressly acknowledges and agrees that the termination of his or her employment or service shall (except as may otherwise be provided in this Agreement or the Plan) result in forfeiture of the Award and the Shares to the extent the Award has not been earned and vested as of his or her Termination Date.</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For purposes of the Award (and except as otherwise required under Code Section 409A), the Termination Date occurs on the date the Participant is no longer actively providing services to the Company or any Affiliate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the Participant’s period of service would not include any contractual notice period or any period of “garden leave” or similar period mandated under employment laws in the jurisdiction where the Participant is employed or providing services, or the terms of his or her employment or service agreement, if any); and the Administrator shall have the exclusive discretion to determine when the Participant is no longer actively providing services for purposes of the Award (including whether the Participant may still be considered to be providing services while on a leave of absence).</w:t>
      </w:r>
    </w:p>
    <w:p>
      <w:pPr>
        <w:spacing w:after="0" w:line="207" w:lineRule="exact"/>
        <w:rPr>
          <w:sz w:val="20"/>
          <w:szCs w:val="20"/>
          <w:color w:val="auto"/>
        </w:rPr>
      </w:pPr>
    </w:p>
    <w:p>
      <w:pPr>
        <w:jc w:val="both"/>
        <w:ind w:firstLine="656"/>
        <w:spacing w:after="0" w:line="293" w:lineRule="auto"/>
        <w:tabs>
          <w:tab w:leader="none" w:pos="1445"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Settlement of Award</w:t>
      </w:r>
      <w:r>
        <w:rPr>
          <w:rFonts w:ascii="Arial" w:cs="Arial" w:eastAsia="Arial" w:hAnsi="Arial"/>
          <w:sz w:val="19"/>
          <w:szCs w:val="19"/>
          <w:color w:val="auto"/>
        </w:rPr>
        <w:t>. The Award, if earned in accordance with the terms of this Agreement, shall be payable in whole Shares. The total number of Shares that may be acquired upon vesting of the Award (or portion thereof) shall be rounded down to the nearest whole share. A certificate or certificates for the Shares subject to the Award or portion thereof shall be issued in the name of the Participant or his or her beneficiary (or, in the case of uncertificated shares, other written evidence of ownership in accordance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8"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Updated February 2016</w:t>
      </w:r>
    </w:p>
    <w:p>
      <w:pPr>
        <w:sectPr>
          <w:pgSz w:w="11900" w:h="16838" w:orient="portrait"/>
          <w:cols w:equalWidth="0" w:num="1">
            <w:col w:w="11420"/>
          </w:cols>
          <w:pgMar w:left="240" w:top="366" w:right="239" w:bottom="1440" w:gutter="0" w:footer="0" w:header="0"/>
        </w:sectPr>
      </w:pPr>
    </w:p>
    <w:bookmarkStart w:id="170" w:name="page171"/>
    <w:bookmarkEnd w:id="170"/>
    <w:p>
      <w:pPr>
        <w:jc w:val="both"/>
        <w:spacing w:after="0" w:line="307" w:lineRule="auto"/>
        <w:rPr>
          <w:sz w:val="20"/>
          <w:szCs w:val="20"/>
          <w:color w:val="auto"/>
        </w:rPr>
      </w:pPr>
      <w:r>
        <w:rPr>
          <w:rFonts w:ascii="Arial" w:cs="Arial" w:eastAsia="Arial" w:hAnsi="Arial"/>
          <w:sz w:val="18"/>
          <w:szCs w:val="18"/>
          <w:color w:val="auto"/>
        </w:rPr>
        <w:t>with Applicable Law shall be provided) as soon as practicable after, and only to the extent that, the Award or portion thereof has vested and Shares are distributable. Shares or any other benefit subject to the Award shall, upon vesting of the Award (and except as otherwise provided in Sections 2(b)(iv) and 2(b)(v) of Schedule A), be issued and distributed to the Participant (or his or her beneficiary) no later than the later of (a) the fifteenth (15th) day of the third month following the Participant’s first taxable year in which the amount is no longer subject to a substantial risk of forfeiture, or (b) the fifteenth (15th) day of the third month following the end of the Company’s first taxable year in which the amount is no longer subject to a substantial risk of forfeiture, or otherwise in accordance with Code Section 409A.</w:t>
      </w:r>
    </w:p>
    <w:p>
      <w:pPr>
        <w:spacing w:after="0" w:line="167" w:lineRule="exact"/>
        <w:rPr>
          <w:sz w:val="20"/>
          <w:szCs w:val="20"/>
          <w:color w:val="auto"/>
        </w:rPr>
      </w:pPr>
    </w:p>
    <w:p>
      <w:pPr>
        <w:jc w:val="both"/>
        <w:ind w:firstLine="656"/>
        <w:spacing w:after="0" w:line="310" w:lineRule="auto"/>
        <w:tabs>
          <w:tab w:leader="none" w:pos="144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Right of Continued Employment or Service</w:t>
      </w:r>
      <w:r>
        <w:rPr>
          <w:rFonts w:ascii="Arial" w:cs="Arial" w:eastAsia="Arial" w:hAnsi="Arial"/>
          <w:sz w:val="18"/>
          <w:szCs w:val="18"/>
          <w:color w:val="auto"/>
        </w:rPr>
        <w:t>. Nothing contained in this Agreement or the Plan shall confer upon the Participant any right to continue in the employment or service of the Company or an Affiliate or to interfere in any way with the right of the Company or an Affiliate to terminate the Participant’s employment or service at any time. Except as otherwise expressly provided in the Plan and this Agreement (including but not limited to Schedule A), all rights of the Participant under the Plan with respect to the unvested portion of his or her Award shall terminate upon the Termination Date. The grant of the Award does not create any obligation to grant further awards.</w:t>
      </w:r>
    </w:p>
    <w:p>
      <w:pPr>
        <w:spacing w:after="0" w:line="162" w:lineRule="exact"/>
        <w:rPr>
          <w:rFonts w:ascii="Arial" w:cs="Arial" w:eastAsia="Arial" w:hAnsi="Arial"/>
          <w:sz w:val="18"/>
          <w:szCs w:val="18"/>
          <w:color w:val="auto"/>
        </w:rPr>
      </w:pPr>
    </w:p>
    <w:p>
      <w:pPr>
        <w:jc w:val="both"/>
        <w:ind w:firstLine="656"/>
        <w:spacing w:after="0" w:line="293" w:lineRule="auto"/>
        <w:tabs>
          <w:tab w:leader="none" w:pos="1445"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Nontransferability of Award and Shares</w:t>
      </w:r>
      <w:r>
        <w:rPr>
          <w:rFonts w:ascii="Arial" w:cs="Arial" w:eastAsia="Arial" w:hAnsi="Arial"/>
          <w:sz w:val="19"/>
          <w:szCs w:val="19"/>
          <w:color w:val="auto"/>
        </w:rPr>
        <w:t>. The Award shall not be transferable (including by sale, assignment, pledge or hypothecation) other than by will or the laws of descent and distribution. The designation of a beneficiary in accordance with the Plan (to the extent permitted by the Administrator) does not constitute a transfer. The Participant shall not sell, transfer, assign, pledge or otherwise encumber the Shares subject to the Award until such Shares have been issued and delivered to the Participant.</w:t>
      </w:r>
    </w:p>
    <w:p>
      <w:pPr>
        <w:spacing w:after="0" w:line="175" w:lineRule="exact"/>
        <w:rPr>
          <w:rFonts w:ascii="Arial" w:cs="Arial" w:eastAsia="Arial" w:hAnsi="Arial"/>
          <w:sz w:val="19"/>
          <w:szCs w:val="19"/>
          <w:color w:val="auto"/>
        </w:rPr>
      </w:pPr>
    </w:p>
    <w:p>
      <w:pPr>
        <w:ind w:left="1560" w:hanging="904"/>
        <w:spacing w:after="0"/>
        <w:tabs>
          <w:tab w:leader="none" w:pos="156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Withholding; Tax Consequences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5"/>
        <w:spacing w:after="0" w:line="271" w:lineRule="auto"/>
        <w:tabs>
          <w:tab w:leader="none" w:pos="2176"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Participant acknowledges that, regardless of any action taken by the Company or, if different, his or her employer (the “Employer”), the ultimate liability for all income tax, social insurance, payroll tax, fringe benefits tax, payment on account or other tax-related items related to the Participant’s participation in the Plan and legally applicable to the Participant (“Tax-Related Items”) is and remains the Participant’s responsibility and may exceed the amount actually withheld by the Company or the Employer.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07" w:lineRule="exact"/>
        <w:rPr>
          <w:rFonts w:ascii="Arial" w:cs="Arial" w:eastAsia="Arial" w:hAnsi="Arial"/>
          <w:sz w:val="20"/>
          <w:szCs w:val="20"/>
          <w:color w:val="auto"/>
        </w:rPr>
      </w:pPr>
    </w:p>
    <w:p>
      <w:pPr>
        <w:jc w:val="both"/>
        <w:ind w:left="660" w:firstLine="645"/>
        <w:spacing w:after="0" w:line="300" w:lineRule="auto"/>
        <w:tabs>
          <w:tab w:leader="none" w:pos="2209" w:val="left"/>
        </w:tabs>
        <w:numPr>
          <w:ilvl w:val="1"/>
          <w:numId w:val="109"/>
        </w:numPr>
        <w:rPr>
          <w:rFonts w:ascii="Arial" w:cs="Arial" w:eastAsia="Arial" w:hAnsi="Arial"/>
          <w:sz w:val="19"/>
          <w:szCs w:val="19"/>
          <w:color w:val="auto"/>
        </w:rPr>
      </w:pPr>
      <w:r>
        <w:rPr>
          <w:rFonts w:ascii="Arial" w:cs="Arial" w:eastAsia="Arial" w:hAnsi="Arial"/>
          <w:sz w:val="18"/>
          <w:szCs w:val="18"/>
          <w:color w:val="auto"/>
        </w:rPr>
        <w:t>Prior to any relevant taxable or tax withholding event, as applicable, the Participant agrees to make adequate arrangements satisfactory to the Company and/or the Employer to satisfy all Tax-Related Items. In this regard, the Participant authorizes the Company or its respective agents to satisfy their withholding obligations with regard to all Tax-Related Items by withholding Shares to be issued upon settlement of the Award. The Company may withhold or account for Tax-Related Items by considering minimum statutory withholding rates or other applicable withholding rates. For tax purposes, the Participant is deemed to have been issued the full number of Shares subject to the vested portion of the Award, notwithstanding that a number of the Shares are held back solely for the purpose of paying the Tax-Related Items. In the event that the Company determines that withholding Shares is problematic under applicable local laws or has materially adverse accounting consequences, by his or her acceptance of the Award, the Participant authorizes the Company and any brokerage firm determined acceptable to the Company to sell, on his or her behalf, a whole number of Shares from those Shares issuable to the Participant as the Company determines to be appropriate to generate cash proceeds sufficient to satisfy the obligation for Tax-Related Items. If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79" w:right="239" w:bottom="1440" w:gutter="0" w:footer="0" w:header="0"/>
        </w:sectPr>
      </w:pPr>
    </w:p>
    <w:bookmarkStart w:id="171" w:name="page172"/>
    <w:bookmarkEnd w:id="171"/>
    <w:p>
      <w:pPr>
        <w:jc w:val="both"/>
        <w:ind w:left="4"/>
        <w:spacing w:after="0" w:line="272" w:lineRule="auto"/>
        <w:rPr>
          <w:sz w:val="20"/>
          <w:szCs w:val="20"/>
          <w:color w:val="auto"/>
        </w:rPr>
      </w:pPr>
      <w:r>
        <w:rPr>
          <w:rFonts w:ascii="Arial" w:cs="Arial" w:eastAsia="Arial" w:hAnsi="Arial"/>
          <w:sz w:val="20"/>
          <w:szCs w:val="20"/>
          <w:color w:val="auto"/>
        </w:rPr>
        <w:t>withholding is performed from proceeds from the sale of Shares, the Company may withhold for Tax-Related Items by considering maximum applicable rates, in which case the Participant may receive a refund of any over-withheld amount in cash and will have no entitlement to the Shares equivalent. Alternatively, the Company or the Employer may (subject to any Code Section 409A considerations) satisfy their withholding obligations for Tax-Related Items by withholding from the Participant’s wages or other cash compensation. The Company may refuse to issue or deliver the Shares or the proceeds of the sale of Shares if the Participant fails to comply with his or her obligations in connection with the Tax-Related Items.</w:t>
      </w:r>
    </w:p>
    <w:p>
      <w:pPr>
        <w:spacing w:after="0" w:line="192" w:lineRule="exact"/>
        <w:rPr>
          <w:sz w:val="20"/>
          <w:szCs w:val="20"/>
          <w:color w:val="auto"/>
        </w:rPr>
      </w:pPr>
    </w:p>
    <w:p>
      <w:pPr>
        <w:jc w:val="both"/>
        <w:ind w:left="4" w:firstLine="645"/>
        <w:spacing w:after="0" w:line="304" w:lineRule="auto"/>
        <w:tabs>
          <w:tab w:leader="none" w:pos="15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Participant acknowledges that the Company and/or the Employer have made no warranties or representations to the Participant with respect to the Tax-Related Items (including but not limited to income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grant or vesting of the Award and/or the acquisition or disposition of the Shares subject to the Award and the receipt of any dividends,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171" w:lineRule="exact"/>
        <w:rPr>
          <w:rFonts w:ascii="Arial" w:cs="Arial" w:eastAsia="Arial" w:hAnsi="Arial"/>
          <w:sz w:val="18"/>
          <w:szCs w:val="18"/>
          <w:color w:val="auto"/>
        </w:rPr>
      </w:pPr>
    </w:p>
    <w:p>
      <w:pPr>
        <w:ind w:left="884" w:hanging="884"/>
        <w:spacing w:after="0"/>
        <w:tabs>
          <w:tab w:leader="none" w:pos="884"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Award, the Participant acknowledges, understands and agrees that:</w:t>
      </w:r>
    </w:p>
    <w:p>
      <w:pPr>
        <w:spacing w:after="0" w:line="256" w:lineRule="exact"/>
        <w:rPr>
          <w:rFonts w:ascii="Arial" w:cs="Arial" w:eastAsia="Arial" w:hAnsi="Arial"/>
          <w:sz w:val="20"/>
          <w:szCs w:val="20"/>
          <w:color w:val="auto"/>
        </w:rPr>
      </w:pPr>
    </w:p>
    <w:p>
      <w:pPr>
        <w:ind w:left="4" w:firstLine="645"/>
        <w:spacing w:after="0" w:line="265" w:lineRule="auto"/>
        <w:tabs>
          <w:tab w:leader="none" w:pos="1229" w:val="left"/>
        </w:tabs>
        <w:numPr>
          <w:ilvl w:val="1"/>
          <w:numId w:val="111"/>
        </w:numPr>
        <w:rPr>
          <w:rFonts w:ascii="Arial" w:cs="Arial" w:eastAsia="Arial" w:hAnsi="Arial"/>
          <w:sz w:val="22"/>
          <w:szCs w:val="22"/>
          <w:color w:val="auto"/>
        </w:rPr>
      </w:pPr>
      <w:r>
        <w:rPr>
          <w:rFonts w:ascii="Arial" w:cs="Arial" w:eastAsia="Arial" w:hAnsi="Arial"/>
          <w:sz w:val="20"/>
          <w:szCs w:val="20"/>
          <w:color w:val="auto"/>
        </w:rPr>
        <w:t>the Plan is established voluntarily by the Company, is discretionary in nature, and may be amended, suspended or terminated by the Company at any time, to the extent permitted by the Plan;</w:t>
      </w:r>
    </w:p>
    <w:p>
      <w:pPr>
        <w:spacing w:after="0" w:line="209" w:lineRule="exact"/>
        <w:rPr>
          <w:rFonts w:ascii="Arial" w:cs="Arial" w:eastAsia="Arial" w:hAnsi="Arial"/>
          <w:sz w:val="22"/>
          <w:szCs w:val="22"/>
          <w:color w:val="auto"/>
        </w:rPr>
      </w:pPr>
    </w:p>
    <w:p>
      <w:pPr>
        <w:ind w:left="1184" w:hanging="535"/>
        <w:spacing w:after="0"/>
        <w:tabs>
          <w:tab w:leader="none" w:pos="1184" w:val="left"/>
        </w:tabs>
        <w:numPr>
          <w:ilvl w:val="1"/>
          <w:numId w:val="111"/>
        </w:numPr>
        <w:rPr>
          <w:rFonts w:ascii="Arial" w:cs="Arial" w:eastAsia="Arial" w:hAnsi="Arial"/>
          <w:sz w:val="19"/>
          <w:szCs w:val="19"/>
          <w:color w:val="auto"/>
        </w:rPr>
      </w:pPr>
      <w:r>
        <w:rPr>
          <w:rFonts w:ascii="Arial" w:cs="Arial" w:eastAsia="Arial" w:hAnsi="Arial"/>
          <w:sz w:val="18"/>
          <w:szCs w:val="18"/>
          <w:color w:val="auto"/>
        </w:rPr>
        <w:t>all decisions with respect to future equity-based awards to the Participant, if any, will be at the sole discretion of the</w:t>
      </w:r>
    </w:p>
    <w:p>
      <w:pPr>
        <w:spacing w:after="0" w:line="38"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253" w:lineRule="exact"/>
        <w:rPr>
          <w:rFonts w:ascii="Arial" w:cs="Arial" w:eastAsia="Arial" w:hAnsi="Arial"/>
          <w:sz w:val="19"/>
          <w:szCs w:val="19"/>
          <w:color w:val="auto"/>
        </w:rPr>
      </w:pPr>
    </w:p>
    <w:p>
      <w:pPr>
        <w:ind w:left="1064" w:hanging="415"/>
        <w:spacing w:after="0"/>
        <w:tabs>
          <w:tab w:leader="none" w:pos="1064" w:val="left"/>
        </w:tabs>
        <w:numPr>
          <w:ilvl w:val="1"/>
          <w:numId w:val="111"/>
        </w:numPr>
        <w:rPr>
          <w:rFonts w:ascii="Arial" w:cs="Arial" w:eastAsia="Arial" w:hAnsi="Arial"/>
          <w:sz w:val="22"/>
          <w:szCs w:val="22"/>
          <w:color w:val="auto"/>
        </w:rPr>
      </w:pPr>
      <w:r>
        <w:rPr>
          <w:rFonts w:ascii="Arial" w:cs="Arial" w:eastAsia="Arial" w:hAnsi="Arial"/>
          <w:sz w:val="20"/>
          <w:szCs w:val="20"/>
          <w:color w:val="auto"/>
        </w:rPr>
        <w:t>the Participant’s participation in the Plan is voluntary;</w:t>
      </w:r>
    </w:p>
    <w:p>
      <w:pPr>
        <w:spacing w:after="0" w:line="235" w:lineRule="exact"/>
        <w:rPr>
          <w:rFonts w:ascii="Arial" w:cs="Arial" w:eastAsia="Arial" w:hAnsi="Arial"/>
          <w:sz w:val="22"/>
          <w:szCs w:val="22"/>
          <w:color w:val="auto"/>
        </w:rPr>
      </w:pPr>
    </w:p>
    <w:p>
      <w:pPr>
        <w:ind w:left="4" w:firstLine="645"/>
        <w:spacing w:after="0" w:line="265" w:lineRule="auto"/>
        <w:tabs>
          <w:tab w:leader="none" w:pos="1098" w:val="left"/>
        </w:tabs>
        <w:numPr>
          <w:ilvl w:val="1"/>
          <w:numId w:val="111"/>
        </w:numPr>
        <w:rPr>
          <w:rFonts w:ascii="Arial" w:cs="Arial" w:eastAsia="Arial" w:hAnsi="Arial"/>
          <w:sz w:val="22"/>
          <w:szCs w:val="22"/>
          <w:color w:val="auto"/>
        </w:rPr>
      </w:pPr>
      <w:r>
        <w:rPr>
          <w:rFonts w:ascii="Arial" w:cs="Arial" w:eastAsia="Arial" w:hAnsi="Arial"/>
          <w:sz w:val="20"/>
          <w:szCs w:val="20"/>
          <w:color w:val="auto"/>
        </w:rPr>
        <w:t>the Award and any Shares acquired under the Plan, and the value of and income attributable to the same, are not intended to replace any pension rights or compensation;</w:t>
      </w:r>
    </w:p>
    <w:p>
      <w:pPr>
        <w:spacing w:after="0" w:line="209" w:lineRule="exact"/>
        <w:rPr>
          <w:rFonts w:ascii="Arial" w:cs="Arial" w:eastAsia="Arial" w:hAnsi="Arial"/>
          <w:sz w:val="22"/>
          <w:szCs w:val="22"/>
          <w:color w:val="auto"/>
        </w:rPr>
      </w:pPr>
    </w:p>
    <w:p>
      <w:pPr>
        <w:jc w:val="both"/>
        <w:ind w:left="4" w:firstLine="645"/>
        <w:spacing w:after="0" w:line="265" w:lineRule="auto"/>
        <w:tabs>
          <w:tab w:leader="none" w:pos="1153" w:val="left"/>
        </w:tabs>
        <w:numPr>
          <w:ilvl w:val="1"/>
          <w:numId w:val="111"/>
        </w:numPr>
        <w:rPr>
          <w:rFonts w:ascii="Arial" w:cs="Arial" w:eastAsia="Arial" w:hAnsi="Arial"/>
          <w:sz w:val="22"/>
          <w:szCs w:val="22"/>
          <w:color w:val="auto"/>
        </w:rPr>
      </w:pPr>
      <w:r>
        <w:rPr>
          <w:rFonts w:ascii="Arial" w:cs="Arial" w:eastAsia="Arial" w:hAnsi="Arial"/>
          <w:sz w:val="20"/>
          <w:szCs w:val="20"/>
          <w:color w:val="auto"/>
        </w:rPr>
        <w:t>unless otherwise agreed with the Company, the Award and any Shares acquired under the Plan, and the value of and income attributable to the same, are not granted as consideration for, or in connection with, any service the Participant may provide as a director of any Affiliate;</w:t>
      </w:r>
    </w:p>
    <w:p>
      <w:pPr>
        <w:spacing w:after="0" w:line="212" w:lineRule="exact"/>
        <w:rPr>
          <w:rFonts w:ascii="Arial" w:cs="Arial" w:eastAsia="Arial" w:hAnsi="Arial"/>
          <w:sz w:val="22"/>
          <w:szCs w:val="22"/>
          <w:color w:val="auto"/>
        </w:rPr>
      </w:pPr>
    </w:p>
    <w:p>
      <w:pPr>
        <w:jc w:val="both"/>
        <w:ind w:left="4" w:firstLine="645"/>
        <w:spacing w:after="0" w:line="313" w:lineRule="auto"/>
        <w:tabs>
          <w:tab w:leader="none" w:pos="1089" w:val="left"/>
        </w:tabs>
        <w:numPr>
          <w:ilvl w:val="1"/>
          <w:numId w:val="111"/>
        </w:numPr>
        <w:rPr>
          <w:rFonts w:ascii="Arial" w:cs="Arial" w:eastAsia="Arial" w:hAnsi="Arial"/>
          <w:sz w:val="19"/>
          <w:szCs w:val="19"/>
          <w:color w:val="auto"/>
        </w:rPr>
      </w:pPr>
      <w:r>
        <w:rPr>
          <w:rFonts w:ascii="Arial" w:cs="Arial" w:eastAsia="Arial" w:hAnsi="Arial"/>
          <w:sz w:val="18"/>
          <w:szCs w:val="18"/>
          <w:color w:val="auto"/>
        </w:rPr>
        <w:t>the Award and any Shares acquired under the Plan, and the value of and income attributable to the same, are not part of normal or expected compensation or salary for purposes of calculating any severance, resignation, termination, redundancy, end of service payments, bonuses, long-service awards, pension or retirement or welfare benefits or similar payments;</w:t>
      </w:r>
    </w:p>
    <w:p>
      <w:pPr>
        <w:spacing w:after="0" w:line="172" w:lineRule="exact"/>
        <w:rPr>
          <w:rFonts w:ascii="Arial" w:cs="Arial" w:eastAsia="Arial" w:hAnsi="Arial"/>
          <w:sz w:val="19"/>
          <w:szCs w:val="19"/>
          <w:color w:val="auto"/>
        </w:rPr>
      </w:pPr>
    </w:p>
    <w:p>
      <w:pPr>
        <w:ind w:left="1084" w:hanging="435"/>
        <w:spacing w:after="0"/>
        <w:tabs>
          <w:tab w:leader="none" w:pos="1084" w:val="left"/>
        </w:tabs>
        <w:numPr>
          <w:ilvl w:val="1"/>
          <w:numId w:val="111"/>
        </w:numPr>
        <w:rPr>
          <w:rFonts w:ascii="Arial" w:cs="Arial" w:eastAsia="Arial" w:hAnsi="Arial"/>
          <w:sz w:val="22"/>
          <w:szCs w:val="22"/>
          <w:color w:val="auto"/>
        </w:rPr>
      </w:pPr>
      <w:r>
        <w:rPr>
          <w:rFonts w:ascii="Arial" w:cs="Arial" w:eastAsia="Arial" w:hAnsi="Arial"/>
          <w:sz w:val="20"/>
          <w:szCs w:val="20"/>
          <w:color w:val="auto"/>
        </w:rPr>
        <w:t>the future value of the Shares underlying the Award is unknown and cannot be predicted;</w:t>
      </w:r>
    </w:p>
    <w:p>
      <w:pPr>
        <w:spacing w:after="0" w:line="200" w:lineRule="exact"/>
        <w:rPr>
          <w:sz w:val="20"/>
          <w:szCs w:val="20"/>
          <w:color w:val="auto"/>
        </w:rPr>
      </w:pPr>
    </w:p>
    <w:p>
      <w:pPr>
        <w:spacing w:after="0" w:line="252"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4</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4"/>
          </w:cols>
          <w:pgMar w:left="896" w:top="379" w:right="239" w:bottom="1440" w:gutter="0" w:footer="0" w:header="0"/>
        </w:sectPr>
      </w:pPr>
    </w:p>
    <w:bookmarkStart w:id="172" w:name="page173"/>
    <w:bookmarkEnd w:id="172"/>
    <w:p>
      <w:pPr>
        <w:jc w:val="both"/>
        <w:ind w:left="660" w:firstLine="645"/>
        <w:spacing w:after="0" w:line="265" w:lineRule="auto"/>
        <w:tabs>
          <w:tab w:leader="none" w:pos="1862" w:val="left"/>
        </w:tabs>
        <w:numPr>
          <w:ilvl w:val="1"/>
          <w:numId w:val="112"/>
        </w:numPr>
        <w:rPr>
          <w:rFonts w:ascii="Arial" w:cs="Arial" w:eastAsia="Arial" w:hAnsi="Arial"/>
          <w:sz w:val="22"/>
          <w:szCs w:val="22"/>
          <w:color w:val="auto"/>
        </w:rPr>
      </w:pPr>
      <w:r>
        <w:rPr>
          <w:rFonts w:ascii="Arial" w:cs="Arial" w:eastAsia="Arial" w:hAnsi="Arial"/>
          <w:sz w:val="20"/>
          <w:szCs w:val="20"/>
          <w:color w:val="auto"/>
        </w:rPr>
        <w:t>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Common Stock;</w:t>
      </w:r>
    </w:p>
    <w:p>
      <w:pPr>
        <w:spacing w:after="0" w:line="212" w:lineRule="exact"/>
        <w:rPr>
          <w:rFonts w:ascii="Arial" w:cs="Arial" w:eastAsia="Arial" w:hAnsi="Arial"/>
          <w:sz w:val="22"/>
          <w:szCs w:val="22"/>
          <w:color w:val="auto"/>
        </w:rPr>
      </w:pPr>
    </w:p>
    <w:p>
      <w:pPr>
        <w:jc w:val="both"/>
        <w:ind w:left="660" w:firstLine="645"/>
        <w:spacing w:after="0" w:line="266" w:lineRule="auto"/>
        <w:tabs>
          <w:tab w:leader="none" w:pos="1868" w:val="left"/>
        </w:tabs>
        <w:numPr>
          <w:ilvl w:val="1"/>
          <w:numId w:val="112"/>
        </w:numPr>
        <w:rPr>
          <w:rFonts w:ascii="Arial" w:cs="Arial" w:eastAsia="Arial" w:hAnsi="Arial"/>
          <w:sz w:val="22"/>
          <w:szCs w:val="22"/>
          <w:color w:val="auto"/>
        </w:rPr>
      </w:pPr>
      <w:r>
        <w:rPr>
          <w:rFonts w:ascii="Arial" w:cs="Arial" w:eastAsia="Arial" w:hAnsi="Arial"/>
          <w:sz w:val="20"/>
          <w:szCs w:val="20"/>
          <w:color w:val="auto"/>
        </w:rPr>
        <w:t>no claim or entitlement to compensation or damages shall arise from forfeiture of the Award resulting from the Participant’s termination of employment or service (for any reason whatsoever whether or not later found to be invalid or in breach of employment laws in the jurisdiction where the Participant is employed or the terms of his or her employment or service agreement, if any); and</w:t>
      </w:r>
    </w:p>
    <w:p>
      <w:pPr>
        <w:spacing w:after="0" w:line="208" w:lineRule="exact"/>
        <w:rPr>
          <w:rFonts w:ascii="Arial" w:cs="Arial" w:eastAsia="Arial" w:hAnsi="Arial"/>
          <w:sz w:val="22"/>
          <w:szCs w:val="22"/>
          <w:color w:val="auto"/>
        </w:rPr>
      </w:pPr>
    </w:p>
    <w:p>
      <w:pPr>
        <w:ind w:left="1680" w:hanging="375"/>
        <w:spacing w:after="0"/>
        <w:tabs>
          <w:tab w:leader="none" w:pos="1680" w:val="left"/>
        </w:tabs>
        <w:numPr>
          <w:ilvl w:val="1"/>
          <w:numId w:val="112"/>
        </w:numPr>
        <w:rPr>
          <w:rFonts w:ascii="Arial" w:cs="Arial" w:eastAsia="Arial" w:hAnsi="Arial"/>
          <w:sz w:val="22"/>
          <w:szCs w:val="22"/>
          <w:color w:val="auto"/>
        </w:rPr>
      </w:pPr>
      <w:r>
        <w:rPr>
          <w:rFonts w:ascii="Arial" w:cs="Arial" w:eastAsia="Arial" w:hAnsi="Arial"/>
          <w:sz w:val="20"/>
          <w:szCs w:val="20"/>
          <w:color w:val="auto"/>
        </w:rPr>
        <w:t>if the Participant is employed or providing services outside of the U.S.:</w:t>
      </w:r>
    </w:p>
    <w:p>
      <w:pPr>
        <w:spacing w:after="0" w:line="208" w:lineRule="exact"/>
        <w:rPr>
          <w:rFonts w:ascii="Arial" w:cs="Arial" w:eastAsia="Arial" w:hAnsi="Arial"/>
          <w:sz w:val="22"/>
          <w:szCs w:val="22"/>
          <w:color w:val="auto"/>
        </w:rPr>
      </w:pPr>
    </w:p>
    <w:p>
      <w:pPr>
        <w:jc w:val="both"/>
        <w:ind w:firstLine="1953"/>
        <w:spacing w:after="0" w:line="250" w:lineRule="auto"/>
        <w:tabs>
          <w:tab w:leader="none" w:pos="2339" w:val="left"/>
        </w:tabs>
        <w:numPr>
          <w:ilvl w:val="2"/>
          <w:numId w:val="112"/>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part of normal or expected compensation or salary for any purpose, and in no event should be considered as compensation for, or relating in any way to, past services to the Employer, the Company or any other Affiliate; and</w:t>
      </w:r>
    </w:p>
    <w:p>
      <w:pPr>
        <w:spacing w:after="0" w:line="186" w:lineRule="exact"/>
        <w:rPr>
          <w:rFonts w:ascii="Arial" w:cs="Arial" w:eastAsia="Arial" w:hAnsi="Arial"/>
          <w:sz w:val="20"/>
          <w:szCs w:val="20"/>
          <w:color w:val="auto"/>
        </w:rPr>
      </w:pPr>
    </w:p>
    <w:p>
      <w:pPr>
        <w:jc w:val="both"/>
        <w:ind w:firstLine="1953"/>
        <w:spacing w:after="0" w:line="250" w:lineRule="auto"/>
        <w:tabs>
          <w:tab w:leader="none" w:pos="2542" w:val="left"/>
        </w:tabs>
        <w:numPr>
          <w:ilvl w:val="2"/>
          <w:numId w:val="112"/>
        </w:numPr>
        <w:rPr>
          <w:rFonts w:ascii="Arial" w:cs="Arial" w:eastAsia="Arial" w:hAnsi="Arial"/>
          <w:sz w:val="20"/>
          <w:szCs w:val="20"/>
          <w:color w:val="auto"/>
        </w:rPr>
      </w:pPr>
      <w:r>
        <w:rPr>
          <w:rFonts w:ascii="Arial" w:cs="Arial" w:eastAsia="Arial" w:hAnsi="Arial"/>
          <w:sz w:val="20"/>
          <w:szCs w:val="20"/>
          <w:color w:val="auto"/>
        </w:rPr>
        <w:t>neither the Company, the Employer nor any other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spacing w:after="0" w:line="199" w:lineRule="exact"/>
        <w:rPr>
          <w:rFonts w:ascii="Arial" w:cs="Arial" w:eastAsia="Arial" w:hAnsi="Arial"/>
          <w:sz w:val="20"/>
          <w:szCs w:val="20"/>
          <w:color w:val="auto"/>
        </w:rPr>
      </w:pPr>
    </w:p>
    <w:p>
      <w:pPr>
        <w:jc w:val="both"/>
        <w:ind w:firstLine="656"/>
        <w:spacing w:after="0" w:line="274" w:lineRule="auto"/>
        <w:tabs>
          <w:tab w:leader="none" w:pos="1544" w:val="left"/>
        </w:tabs>
        <w:numPr>
          <w:ilvl w:val="0"/>
          <w:numId w:val="1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Privacy</w:t>
      </w:r>
      <w:r>
        <w:rPr>
          <w:rFonts w:ascii="Arial" w:cs="Arial" w:eastAsia="Arial" w:hAnsi="Arial"/>
          <w:sz w:val="20"/>
          <w:szCs w:val="20"/>
          <w:b w:val="1"/>
          <w:bCs w:val="1"/>
          <w:i w:val="1"/>
          <w:iCs w:val="1"/>
          <w:color w:val="auto"/>
        </w:rPr>
        <w:t>. The Participant hereby explicitly and unambiguously consents to the collection, use and transfer, in electronic or other form, of his or her personal data as described in this Agreement and any other Award grant materials by and among, as applicable, the Employer, the Company and any other Affiliate for the exclusive purpose of implementing, administering and managing his or her participation in the Plan.</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the Employer may hold certain personal information about him or her, including, but not limited to, his or her name, home address and telephone number, date of birth, social insurance number or other identification number, salary, nationality, job title, any shares of Common Stock or directorships held in the Company or any Affiliate, details of all Restricted Stock Units or any other entitlement to Shares awarded, canceled, exercised, vested, unvested or outstanding in his or her favor (“Data”), for the exclusive purpose of implementing, administering and managing the Plan.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Participant understands that Data will be transferred to Fidelity Stock Plan Services, LLC (“Fidelity”) or to any other third party assisting in the implementation, administration and management of the Plan. The Participant understands that the recipients of Data may be located in the Participant’s country or elsewhere, and that the recipient’s country may have different data privacy laws and protections than his or her country. The Participant understands that, if he or she resides outside the U.S., the Participant may request a list with the names and addresses of any potential recipients of Data by contacting his or her local Human Resources representative. The Participant authorizes the Company, Fidelity and any other recipients of Data which may assist the Company (presently or in the future) with implementing, administering and managing the Plan to receive, possess, use, retain and transfer Data, in electronic or other form, for the purposes of implementing, administering and managing his or her participation in the Plan, including any requisite transfer of Data as may be required to a broker or other third party with whom the Participant may elect to deposit any Shares purchased upon vesting of the Award. The Participant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93" w:right="239" w:bottom="1440" w:gutter="0" w:footer="0" w:header="0"/>
        </w:sectPr>
      </w:pPr>
    </w:p>
    <w:bookmarkStart w:id="173" w:name="page174"/>
    <w:bookmarkEnd w:id="173"/>
    <w:p>
      <w:pPr>
        <w:jc w:val="both"/>
        <w:spacing w:after="0" w:line="271" w:lineRule="auto"/>
        <w:rPr>
          <w:sz w:val="20"/>
          <w:szCs w:val="20"/>
          <w:color w:val="auto"/>
        </w:rPr>
      </w:pPr>
      <w:r>
        <w:rPr>
          <w:rFonts w:ascii="Arial" w:cs="Arial" w:eastAsia="Arial" w:hAnsi="Arial"/>
          <w:sz w:val="18"/>
          <w:szCs w:val="18"/>
          <w:b w:val="1"/>
          <w:bCs w:val="1"/>
          <w:i w:val="1"/>
          <w:iCs w:val="1"/>
          <w:color w:val="auto"/>
        </w:rPr>
        <w:t>understands that Data will be held only as long as is necessary to implement, administer and manage his or her participation in the Plan. The Participant understands that, if he or she resides outside the U.S., the Participant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the consent, his or her employment status or service and career with the Employer will not be affected solely by such actions of the Participant; the only consequence of refusing or withdrawing the consent is that the Company would not be able to grant Restricted Stock Units or other equity awards to the Participant or administer or maintain such awards. Therefore, the Participant understands that refusing or withdrawing the consent may affect his or her ability to participate in the Plan. For more information on the consequences of his or her refusal to consent or withdrawal of consent, the Participant understands that he or she may contact the local Human Resources representative.</w:t>
      </w:r>
    </w:p>
    <w:p>
      <w:pPr>
        <w:spacing w:after="0" w:line="184" w:lineRule="exact"/>
        <w:rPr>
          <w:sz w:val="20"/>
          <w:szCs w:val="20"/>
          <w:color w:val="auto"/>
        </w:rPr>
      </w:pPr>
    </w:p>
    <w:p>
      <w:pPr>
        <w:jc w:val="both"/>
        <w:ind w:firstLine="656"/>
        <w:spacing w:after="0" w:line="314" w:lineRule="auto"/>
        <w:tabs>
          <w:tab w:leader="none" w:pos="1544"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59" w:lineRule="exact"/>
        <w:rPr>
          <w:rFonts w:ascii="Arial" w:cs="Arial" w:eastAsia="Arial" w:hAnsi="Arial"/>
          <w:sz w:val="18"/>
          <w:szCs w:val="18"/>
          <w:color w:val="auto"/>
        </w:rPr>
      </w:pPr>
    </w:p>
    <w:p>
      <w:pPr>
        <w:jc w:val="both"/>
        <w:ind w:firstLine="656"/>
        <w:spacing w:after="0" w:line="270" w:lineRule="auto"/>
        <w:tabs>
          <w:tab w:leader="none" w:pos="1544"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Superseding Agreement; Successors and Assigns</w:t>
      </w:r>
      <w:r>
        <w:rPr>
          <w:rFonts w:ascii="Arial" w:cs="Arial" w:eastAsia="Arial" w:hAnsi="Arial"/>
          <w:sz w:val="20"/>
          <w:szCs w:val="20"/>
          <w:color w:val="auto"/>
        </w:rPr>
        <w:t>. This Agreement supersedes any statements, representations or agreements of the Company with respect to the grant of the Award, any other equity-based awards or any related rights, and the Participant hereby waives any rights or claims related to any such statements, representations or agreements. Except as may be otherwise provided in the Plan,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99" w:lineRule="exact"/>
        <w:rPr>
          <w:rFonts w:ascii="Arial" w:cs="Arial" w:eastAsia="Arial" w:hAnsi="Arial"/>
          <w:sz w:val="20"/>
          <w:szCs w:val="20"/>
          <w:color w:val="auto"/>
        </w:rPr>
      </w:pPr>
    </w:p>
    <w:p>
      <w:pPr>
        <w:jc w:val="both"/>
        <w:ind w:firstLine="656"/>
        <w:spacing w:after="0" w:line="271" w:lineRule="auto"/>
        <w:tabs>
          <w:tab w:leader="none" w:pos="1544"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spacing w:after="0" w:line="194" w:lineRule="exact"/>
        <w:rPr>
          <w:rFonts w:ascii="Arial" w:cs="Arial" w:eastAsia="Arial" w:hAnsi="Arial"/>
          <w:sz w:val="20"/>
          <w:szCs w:val="20"/>
          <w:color w:val="auto"/>
        </w:rPr>
      </w:pPr>
    </w:p>
    <w:p>
      <w:pPr>
        <w:jc w:val="both"/>
        <w:ind w:firstLine="656"/>
        <w:spacing w:after="0" w:line="290" w:lineRule="auto"/>
        <w:tabs>
          <w:tab w:leader="none" w:pos="1544"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Electronic Delivery and Participation</w:t>
      </w:r>
      <w:r>
        <w:rPr>
          <w:rFonts w:ascii="Arial" w:cs="Arial" w:eastAsia="Arial" w:hAnsi="Arial"/>
          <w:sz w:val="19"/>
          <w:szCs w:val="19"/>
          <w:color w:val="auto"/>
        </w:rPr>
        <w:t>. The Company may, in its sole discretion, decide to deliver to and obtain Participant’s acceptance of any documents related to the Award or future awards of Restricted Stock Units that may be granted under the Plan by electronic means or request the Participant’s consent to participate in the Plan by electronic means. The Participant hereby consents to receive and accept such documents by electronic delivery and, if requested, to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74" w:name="page175"/>
    <w:bookmarkEnd w:id="174"/>
    <w:p>
      <w:pPr>
        <w:jc w:val="both"/>
        <w:ind w:firstLine="656"/>
        <w:spacing w:after="0" w:line="278" w:lineRule="auto"/>
        <w:tabs>
          <w:tab w:leader="none" w:pos="1544"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Participant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20"/>
          <w:szCs w:val="20"/>
          <w:color w:val="auto"/>
        </w:rPr>
      </w:pPr>
    </w:p>
    <w:p>
      <w:pPr>
        <w:jc w:val="both"/>
        <w:ind w:firstLine="656"/>
        <w:spacing w:after="0" w:line="293" w:lineRule="auto"/>
        <w:tabs>
          <w:tab w:leader="none" w:pos="1544"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Appendix</w:t>
      </w:r>
      <w:r>
        <w:rPr>
          <w:rFonts w:ascii="Arial" w:cs="Arial" w:eastAsia="Arial" w:hAnsi="Arial"/>
          <w:sz w:val="19"/>
          <w:szCs w:val="19"/>
          <w:color w:val="auto"/>
        </w:rPr>
        <w:t>. The Award shall be subject to any special terms and conditions for the Participant’s country set forth in the Appendix, if any. If the Participant relocates to one of the countries included in the Appendix during the term of the Award, the special terms and conditions for such country shall apply to him or her to the extent the Company determines that the application of such provisions is necessary or advisable for legal or administrative reasons. The Appendix constitutes part of this Agreement.</w:t>
      </w:r>
    </w:p>
    <w:p>
      <w:pPr>
        <w:spacing w:after="0" w:line="175" w:lineRule="exact"/>
        <w:rPr>
          <w:rFonts w:ascii="Arial" w:cs="Arial" w:eastAsia="Arial" w:hAnsi="Arial"/>
          <w:sz w:val="19"/>
          <w:szCs w:val="19"/>
          <w:color w:val="auto"/>
        </w:rPr>
      </w:pPr>
    </w:p>
    <w:p>
      <w:pPr>
        <w:jc w:val="both"/>
        <w:ind w:firstLine="656"/>
        <w:spacing w:after="0" w:line="322" w:lineRule="auto"/>
        <w:tabs>
          <w:tab w:leader="none" w:pos="15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the Shares acquired upon vesting of the Award, to the extent the Company determines it is necessary or advisable for legal or administrative reasons, and to require the Participant to sign any additional agreements or undertakings that may be necessary to accomplish the foregoing.</w:t>
      </w:r>
    </w:p>
    <w:p>
      <w:pPr>
        <w:spacing w:after="0" w:line="152" w:lineRule="exact"/>
        <w:rPr>
          <w:rFonts w:ascii="Arial" w:cs="Arial" w:eastAsia="Arial" w:hAnsi="Arial"/>
          <w:sz w:val="18"/>
          <w:szCs w:val="18"/>
          <w:color w:val="auto"/>
        </w:rPr>
      </w:pPr>
    </w:p>
    <w:p>
      <w:pPr>
        <w:jc w:val="both"/>
        <w:ind w:firstLine="656"/>
        <w:spacing w:after="0" w:line="310" w:lineRule="auto"/>
        <w:tabs>
          <w:tab w:leader="none" w:pos="15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The waiver by the Company of a breach of any provision of this Agreement by the Participant shall not operate or be construed as a waiver of any subsequent breach by the Participant.</w:t>
      </w:r>
    </w:p>
    <w:p>
      <w:pPr>
        <w:spacing w:after="0" w:line="162" w:lineRule="exact"/>
        <w:rPr>
          <w:rFonts w:ascii="Arial" w:cs="Arial" w:eastAsia="Arial" w:hAnsi="Arial"/>
          <w:sz w:val="18"/>
          <w:szCs w:val="18"/>
          <w:color w:val="auto"/>
        </w:rPr>
      </w:pPr>
    </w:p>
    <w:p>
      <w:pPr>
        <w:jc w:val="both"/>
        <w:ind w:firstLine="656"/>
        <w:spacing w:after="0" w:line="272" w:lineRule="auto"/>
        <w:tabs>
          <w:tab w:leader="none" w:pos="1544"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191" w:lineRule="exact"/>
        <w:rPr>
          <w:rFonts w:ascii="Arial" w:cs="Arial" w:eastAsia="Arial" w:hAnsi="Arial"/>
          <w:sz w:val="20"/>
          <w:szCs w:val="20"/>
          <w:color w:val="auto"/>
        </w:rPr>
      </w:pPr>
    </w:p>
    <w:p>
      <w:pPr>
        <w:ind w:right="20" w:firstLine="656"/>
        <w:spacing w:after="0" w:line="316" w:lineRule="auto"/>
        <w:tabs>
          <w:tab w:leader="none" w:pos="1544"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53" w:lineRule="exact"/>
        <w:rPr>
          <w:rFonts w:ascii="Arial" w:cs="Arial" w:eastAsia="Arial" w:hAnsi="Arial"/>
          <w:sz w:val="19"/>
          <w:szCs w:val="19"/>
          <w:color w:val="auto"/>
        </w:rPr>
      </w:pPr>
    </w:p>
    <w:p>
      <w:pPr>
        <w:jc w:val="both"/>
        <w:ind w:firstLine="656"/>
        <w:spacing w:after="0" w:line="303" w:lineRule="auto"/>
        <w:tabs>
          <w:tab w:leader="none" w:pos="154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Restrictions on Award and Shares</w:t>
      </w:r>
      <w:r>
        <w:rPr>
          <w:rFonts w:ascii="Arial" w:cs="Arial" w:eastAsia="Arial" w:hAnsi="Arial"/>
          <w:sz w:val="18"/>
          <w:szCs w:val="18"/>
          <w:color w:val="auto"/>
        </w:rPr>
        <w:t>. The Company may impose such restrictions on the Award and any Shares or other benefits underlying the Award as it may deem advisable, including without limitation restrictions under the U.S. federal securities laws, the requirements of any stock exchange or similar organization and any blue sky, state or foreign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all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 The Administrator may delay the right to receive or dispose of Shares (or other benefits) upon settlement of the Award at any time if the Administrator determines that allowing issuance of Shares (or distribution of other benefits) would violate any federal, state or foreign securities laws or applicable policies of the Company, and the Administrator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80" w:right="239" w:bottom="1440" w:gutter="0" w:footer="0" w:header="0"/>
        </w:sectPr>
      </w:pPr>
    </w:p>
    <w:bookmarkStart w:id="175" w:name="page176"/>
    <w:bookmarkEnd w:id="175"/>
    <w:p>
      <w:pPr>
        <w:jc w:val="both"/>
        <w:spacing w:after="0" w:line="278" w:lineRule="auto"/>
        <w:rPr>
          <w:sz w:val="20"/>
          <w:szCs w:val="20"/>
          <w:color w:val="auto"/>
        </w:rPr>
      </w:pPr>
      <w:r>
        <w:rPr>
          <w:rFonts w:ascii="Arial" w:cs="Arial" w:eastAsia="Arial" w:hAnsi="Arial"/>
          <w:sz w:val="20"/>
          <w:szCs w:val="20"/>
          <w:color w:val="auto"/>
        </w:rPr>
        <w:t>may provide in its discretion that any time periods to receive Shares (or other benefits) subject to the Award are tolled or extended during a period of suspension or delay (subject to any Code Section 409A considerations); provided, however, that any such delay, suspension, tolling or extension shall not apply to any Shares subject to an effective Rule 10b5-1 trading plan.</w:t>
      </w:r>
    </w:p>
    <w:p>
      <w:pPr>
        <w:spacing w:after="0" w:line="187" w:lineRule="exact"/>
        <w:rPr>
          <w:sz w:val="20"/>
          <w:szCs w:val="20"/>
          <w:color w:val="auto"/>
        </w:rPr>
      </w:pPr>
    </w:p>
    <w:p>
      <w:pPr>
        <w:jc w:val="both"/>
        <w:ind w:firstLine="656"/>
        <w:spacing w:after="0" w:line="322" w:lineRule="auto"/>
        <w:tabs>
          <w:tab w:leader="none" w:pos="154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52" w:lineRule="exact"/>
        <w:rPr>
          <w:rFonts w:ascii="Arial" w:cs="Arial" w:eastAsia="Arial" w:hAnsi="Arial"/>
          <w:sz w:val="18"/>
          <w:szCs w:val="18"/>
          <w:color w:val="auto"/>
        </w:rPr>
      </w:pPr>
    </w:p>
    <w:p>
      <w:pPr>
        <w:jc w:val="both"/>
        <w:ind w:firstLine="656"/>
        <w:spacing w:after="0" w:line="273" w:lineRule="auto"/>
        <w:tabs>
          <w:tab w:leader="none" w:pos="1544"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this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191" w:lineRule="exact"/>
        <w:rPr>
          <w:rFonts w:ascii="Arial" w:cs="Arial" w:eastAsia="Arial" w:hAnsi="Arial"/>
          <w:sz w:val="20"/>
          <w:szCs w:val="20"/>
          <w:color w:val="auto"/>
        </w:rPr>
      </w:pPr>
    </w:p>
    <w:p>
      <w:pPr>
        <w:jc w:val="both"/>
        <w:ind w:firstLine="656"/>
        <w:spacing w:after="0" w:line="349" w:lineRule="auto"/>
        <w:tabs>
          <w:tab w:leader="none" w:pos="154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Requirements</w:t>
      </w:r>
      <w:r>
        <w:rPr>
          <w:rFonts w:ascii="Arial" w:cs="Arial" w:eastAsia="Arial" w:hAnsi="Arial"/>
          <w:sz w:val="16"/>
          <w:szCs w:val="16"/>
          <w:color w:val="auto"/>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79" w:right="239" w:bottom="1440" w:gutter="0" w:footer="0" w:header="0"/>
        </w:sectPr>
      </w:pPr>
    </w:p>
    <w:bookmarkStart w:id="176" w:name="page177"/>
    <w:bookmarkEnd w:id="176"/>
    <w:p>
      <w:pPr>
        <w:ind w:right="500"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Grant Date stated herein.</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rPr>
          <w:sz w:val="20"/>
          <w:szCs w:val="20"/>
          <w:color w:val="auto"/>
        </w:rPr>
      </w:pPr>
      <w:r>
        <w:rPr>
          <w:rFonts w:ascii="Arial" w:cs="Arial" w:eastAsia="Arial" w:hAnsi="Arial"/>
          <w:sz w:val="20"/>
          <w:szCs w:val="20"/>
          <w:color w:val="auto"/>
        </w:rPr>
        <w:t>Attest: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Jeffrey C. Howland</w:t>
      </w:r>
    </w:p>
    <w:p>
      <w:pPr>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2012 Stock Incentive Plan</w:t>
      </w:r>
    </w:p>
    <w:p>
      <w:pPr>
        <w:ind w:left="4300"/>
        <w:spacing w:after="0"/>
        <w:rPr>
          <w:sz w:val="20"/>
          <w:szCs w:val="20"/>
          <w:color w:val="auto"/>
        </w:rPr>
      </w:pPr>
      <w:r>
        <w:rPr>
          <w:rFonts w:ascii="Arial" w:cs="Arial" w:eastAsia="Arial" w:hAnsi="Arial"/>
          <w:sz w:val="20"/>
          <w:szCs w:val="20"/>
          <w:b w:val="1"/>
          <w:bCs w:val="1"/>
          <w:color w:val="auto"/>
        </w:rPr>
        <w:t>Restricted Stock Unit Agreement</w:t>
      </w:r>
    </w:p>
    <w:p>
      <w:pPr>
        <w:ind w:left="3920"/>
        <w:spacing w:after="0"/>
        <w:rPr>
          <w:sz w:val="20"/>
          <w:szCs w:val="20"/>
          <w:color w:val="auto"/>
        </w:rPr>
      </w:pPr>
      <w:r>
        <w:rPr>
          <w:rFonts w:ascii="Arial" w:cs="Arial" w:eastAsia="Arial" w:hAnsi="Arial"/>
          <w:sz w:val="20"/>
          <w:szCs w:val="20"/>
          <w:b w:val="1"/>
          <w:bCs w:val="1"/>
          <w:color w:val="auto"/>
        </w:rPr>
        <w:t>(Service-Based Award for Senior Officers)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35" w:lineRule="exact"/>
        <w:rPr>
          <w:sz w:val="20"/>
          <w:szCs w:val="20"/>
          <w:color w:val="auto"/>
        </w:rPr>
      </w:pPr>
    </w:p>
    <w:p>
      <w:pPr>
        <w:jc w:val="both"/>
        <w:ind w:firstLine="656"/>
        <w:spacing w:after="0" w:line="310" w:lineRule="auto"/>
        <w:tabs>
          <w:tab w:leader="none" w:pos="144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Grant Terms</w:t>
      </w:r>
      <w:r>
        <w:rPr>
          <w:rFonts w:ascii="Arial" w:cs="Arial" w:eastAsia="Arial" w:hAnsi="Arial"/>
          <w:sz w:val="18"/>
          <w:szCs w:val="18"/>
          <w:color w:val="auto"/>
        </w:rPr>
        <w:t>. Pursuant to the terms and conditions of the Company’s 2012 Stock Incentive Plan, as it may be amended (the “Plan”), and the Restricted Stock Unit Agreement (Service-Based Award for Senior Officers) attached hereto, including any special terms and conditions for your country in the Appendix attached thereto (together, the “Agreement”), you (the “Participant”) have been granted an award of Restricted Stock Units (the “Award”) for the number of shares of Common Stock (the “Shares”) as set forth below. Unless otherwise defined herein, capitalized terms in this Schedule A shall have the same definitions as set forth in the Agreement and the Plan.</w:t>
      </w:r>
    </w:p>
    <w:p>
      <w:pPr>
        <w:spacing w:after="0" w:line="149" w:lineRule="exact"/>
        <w:rPr>
          <w:sz w:val="20"/>
          <w:szCs w:val="20"/>
          <w:color w:val="auto"/>
        </w:rPr>
      </w:pPr>
    </w:p>
    <w:p>
      <w:pPr>
        <w:ind w:left="3240"/>
        <w:spacing w:after="0"/>
        <w:tabs>
          <w:tab w:leader="none" w:pos="4340" w:val="left"/>
        </w:tabs>
        <w:rPr>
          <w:sz w:val="20"/>
          <w:szCs w:val="20"/>
          <w:color w:val="auto"/>
        </w:rPr>
      </w:pPr>
      <w:r>
        <w:rPr>
          <w:rFonts w:ascii="Arial" w:cs="Arial" w:eastAsia="Arial" w:hAnsi="Arial"/>
          <w:sz w:val="20"/>
          <w:szCs w:val="20"/>
          <w:color w:val="auto"/>
        </w:rPr>
        <w:t>Participant:</w:t>
        <w:tab/>
        <w:t>____________________</w:t>
      </w:r>
    </w:p>
    <w:p>
      <w:pPr>
        <w:spacing w:after="0" w:line="15" w:lineRule="exact"/>
        <w:rPr>
          <w:sz w:val="20"/>
          <w:szCs w:val="20"/>
          <w:color w:val="auto"/>
        </w:rPr>
      </w:pPr>
    </w:p>
    <w:p>
      <w:pPr>
        <w:ind w:left="3240"/>
        <w:spacing w:after="0"/>
        <w:tabs>
          <w:tab w:leader="none" w:pos="4360" w:val="left"/>
        </w:tabs>
        <w:rPr>
          <w:sz w:val="20"/>
          <w:szCs w:val="20"/>
          <w:color w:val="auto"/>
        </w:rPr>
      </w:pPr>
      <w:r>
        <w:rPr>
          <w:rFonts w:ascii="Arial" w:cs="Arial" w:eastAsia="Arial" w:hAnsi="Arial"/>
          <w:sz w:val="20"/>
          <w:szCs w:val="20"/>
          <w:color w:val="auto"/>
        </w:rPr>
        <w:t>Grant Date:</w:t>
      </w:r>
      <w:r>
        <w:rPr>
          <w:sz w:val="20"/>
          <w:szCs w:val="20"/>
          <w:color w:val="auto"/>
        </w:rPr>
        <w:tab/>
      </w:r>
      <w:r>
        <w:rPr>
          <w:rFonts w:ascii="Arial" w:cs="Arial" w:eastAsia="Arial" w:hAnsi="Arial"/>
          <w:sz w:val="16"/>
          <w:szCs w:val="16"/>
          <w:color w:val="auto"/>
        </w:rPr>
        <w:t>____________________</w:t>
      </w:r>
    </w:p>
    <w:p>
      <w:pPr>
        <w:ind w:left="660"/>
        <w:spacing w:after="0"/>
        <w:tabs>
          <w:tab w:leader="none" w:pos="2880" w:val="left"/>
        </w:tabs>
        <w:rPr>
          <w:sz w:val="20"/>
          <w:szCs w:val="20"/>
          <w:color w:val="auto"/>
        </w:rPr>
      </w:pPr>
      <w:r>
        <w:rPr>
          <w:rFonts w:ascii="Arial" w:cs="Arial" w:eastAsia="Arial" w:hAnsi="Arial"/>
          <w:sz w:val="20"/>
          <w:szCs w:val="20"/>
          <w:color w:val="auto"/>
        </w:rPr>
        <w:t>Shares Subject to Award:</w:t>
      </w:r>
      <w:r>
        <w:rPr>
          <w:sz w:val="20"/>
          <w:szCs w:val="20"/>
          <w:color w:val="auto"/>
        </w:rPr>
        <w:tab/>
      </w:r>
      <w:r>
        <w:rPr>
          <w:rFonts w:ascii="Arial" w:cs="Arial" w:eastAsia="Arial" w:hAnsi="Arial"/>
          <w:sz w:val="16"/>
          <w:szCs w:val="16"/>
          <w:color w:val="auto"/>
        </w:rPr>
        <w:t>____________________</w:t>
      </w:r>
    </w:p>
    <w:p>
      <w:pPr>
        <w:spacing w:after="0" w:line="227" w:lineRule="exact"/>
        <w:rPr>
          <w:sz w:val="20"/>
          <w:szCs w:val="20"/>
          <w:color w:val="auto"/>
        </w:rPr>
      </w:pPr>
    </w:p>
    <w:p>
      <w:pPr>
        <w:ind w:left="1460" w:hanging="804"/>
        <w:spacing w:after="0"/>
        <w:tabs>
          <w:tab w:leader="none" w:pos="146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 xml:space="preserve">. </w:t>
      </w:r>
      <w:r>
        <w:rPr>
          <w:rFonts w:ascii="Arial" w:cs="Arial" w:eastAsia="Arial" w:hAnsi="Arial"/>
          <w:sz w:val="20"/>
          <w:szCs w:val="20"/>
          <w:i w:val="1"/>
          <w:iCs w:val="1"/>
          <w:color w:val="auto"/>
        </w:rPr>
        <w:t>[Modify vesting schedule as appropriate.]</w:t>
      </w:r>
    </w:p>
    <w:p>
      <w:pPr>
        <w:spacing w:after="0" w:line="253" w:lineRule="exact"/>
        <w:rPr>
          <w:rFonts w:ascii="Arial" w:cs="Arial" w:eastAsia="Arial" w:hAnsi="Arial"/>
          <w:sz w:val="20"/>
          <w:szCs w:val="20"/>
          <w:color w:val="auto"/>
        </w:rPr>
      </w:pPr>
    </w:p>
    <w:p>
      <w:pPr>
        <w:ind w:left="1720" w:hanging="415"/>
        <w:spacing w:after="0"/>
        <w:tabs>
          <w:tab w:leader="none" w:pos="1720" w:val="left"/>
        </w:tabs>
        <w:numPr>
          <w:ilvl w:val="1"/>
          <w:numId w:val="118"/>
        </w:numPr>
        <w:rPr>
          <w:rFonts w:ascii="Arial" w:cs="Arial" w:eastAsia="Arial" w:hAnsi="Arial"/>
          <w:sz w:val="22"/>
          <w:szCs w:val="22"/>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left="1300" w:right="20" w:firstLine="653"/>
        <w:spacing w:after="0" w:line="265" w:lineRule="auto"/>
        <w:tabs>
          <w:tab w:leader="none" w:pos="2359" w:val="left"/>
        </w:tabs>
        <w:numPr>
          <w:ilvl w:val="2"/>
          <w:numId w:val="118"/>
        </w:numPr>
        <w:rPr>
          <w:rFonts w:ascii="Arial" w:cs="Arial" w:eastAsia="Arial" w:hAnsi="Arial"/>
          <w:sz w:val="22"/>
          <w:szCs w:val="22"/>
          <w:color w:val="auto"/>
        </w:rPr>
      </w:pPr>
      <w:r>
        <w:rPr>
          <w:rFonts w:ascii="Arial" w:cs="Arial" w:eastAsia="Arial" w:hAnsi="Arial"/>
          <w:sz w:val="20"/>
          <w:szCs w:val="20"/>
          <w:color w:val="auto"/>
        </w:rPr>
        <w:t>The Award shall be deemed vested with respect to twenty-five percent (25%) of the Shares subject to the Award on the first anniversary of the Grant Date, subject to the continued employment of the Participant with the Company or an Affiliate through such vesting date;</w:t>
      </w:r>
    </w:p>
    <w:p>
      <w:pPr>
        <w:spacing w:after="0" w:line="212" w:lineRule="exact"/>
        <w:rPr>
          <w:rFonts w:ascii="Arial" w:cs="Arial" w:eastAsia="Arial" w:hAnsi="Arial"/>
          <w:sz w:val="22"/>
          <w:szCs w:val="22"/>
          <w:color w:val="auto"/>
        </w:rPr>
      </w:pPr>
    </w:p>
    <w:p>
      <w:pPr>
        <w:jc w:val="both"/>
        <w:ind w:left="1300" w:firstLine="653"/>
        <w:spacing w:after="0" w:line="265" w:lineRule="auto"/>
        <w:tabs>
          <w:tab w:leader="none" w:pos="2446" w:val="left"/>
        </w:tabs>
        <w:numPr>
          <w:ilvl w:val="2"/>
          <w:numId w:val="118"/>
        </w:numPr>
        <w:rPr>
          <w:rFonts w:ascii="Arial" w:cs="Arial" w:eastAsia="Arial" w:hAnsi="Arial"/>
          <w:sz w:val="22"/>
          <w:szCs w:val="22"/>
          <w:color w:val="auto"/>
        </w:rPr>
      </w:pPr>
      <w:r>
        <w:rPr>
          <w:rFonts w:ascii="Arial" w:cs="Arial" w:eastAsia="Arial" w:hAnsi="Arial"/>
          <w:sz w:val="20"/>
          <w:szCs w:val="20"/>
          <w:color w:val="auto"/>
        </w:rPr>
        <w:t>The Award shall be deemed vested with respect to an additional twenty-five percent (25%) (for a total of fifty percent (50%)) of the Shares subject to the Award on the second anniversary of the Grant Date, subject to the continued employment of the Participant with the Company or an Affiliate through such vesting date;</w:t>
      </w:r>
    </w:p>
    <w:p>
      <w:pPr>
        <w:spacing w:after="0" w:line="212" w:lineRule="exact"/>
        <w:rPr>
          <w:rFonts w:ascii="Arial" w:cs="Arial" w:eastAsia="Arial" w:hAnsi="Arial"/>
          <w:sz w:val="22"/>
          <w:szCs w:val="22"/>
          <w:color w:val="auto"/>
        </w:rPr>
      </w:pPr>
    </w:p>
    <w:p>
      <w:pPr>
        <w:jc w:val="both"/>
        <w:ind w:left="1300" w:firstLine="653"/>
        <w:spacing w:after="0" w:line="284" w:lineRule="auto"/>
        <w:tabs>
          <w:tab w:leader="none" w:pos="2574" w:val="left"/>
        </w:tabs>
        <w:numPr>
          <w:ilvl w:val="2"/>
          <w:numId w:val="118"/>
        </w:numPr>
        <w:rPr>
          <w:rFonts w:ascii="Arial" w:cs="Arial" w:eastAsia="Arial" w:hAnsi="Arial"/>
          <w:sz w:val="21"/>
          <w:szCs w:val="21"/>
          <w:color w:val="auto"/>
        </w:rPr>
      </w:pPr>
      <w:r>
        <w:rPr>
          <w:rFonts w:ascii="Arial" w:cs="Arial" w:eastAsia="Arial" w:hAnsi="Arial"/>
          <w:sz w:val="19"/>
          <w:szCs w:val="19"/>
          <w:color w:val="auto"/>
        </w:rPr>
        <w:t>The Award shall be deemed vested with respect to an additional twenty-five percent (25%) (for a total of seventy-five percent (75%)) of the Shares subject to the Award on the third anniversary of the Grant Date, subject to the continued employment of the Participant with the Company or an Affiliate through such vesting date; and</w:t>
      </w:r>
    </w:p>
    <w:p>
      <w:pPr>
        <w:spacing w:after="0" w:line="196" w:lineRule="exact"/>
        <w:rPr>
          <w:rFonts w:ascii="Arial" w:cs="Arial" w:eastAsia="Arial" w:hAnsi="Arial"/>
          <w:sz w:val="21"/>
          <w:szCs w:val="21"/>
          <w:color w:val="auto"/>
        </w:rPr>
      </w:pPr>
    </w:p>
    <w:p>
      <w:pPr>
        <w:jc w:val="both"/>
        <w:ind w:left="1300" w:firstLine="653"/>
        <w:spacing w:after="0" w:line="284" w:lineRule="auto"/>
        <w:tabs>
          <w:tab w:leader="none" w:pos="2494" w:val="left"/>
        </w:tabs>
        <w:numPr>
          <w:ilvl w:val="2"/>
          <w:numId w:val="118"/>
        </w:numPr>
        <w:rPr>
          <w:rFonts w:ascii="Arial" w:cs="Arial" w:eastAsia="Arial" w:hAnsi="Arial"/>
          <w:sz w:val="21"/>
          <w:szCs w:val="21"/>
          <w:color w:val="auto"/>
        </w:rPr>
      </w:pPr>
      <w:r>
        <w:rPr>
          <w:rFonts w:ascii="Arial" w:cs="Arial" w:eastAsia="Arial" w:hAnsi="Arial"/>
          <w:sz w:val="19"/>
          <w:szCs w:val="19"/>
          <w:color w:val="auto"/>
        </w:rPr>
        <w:t>The Award shall be deemed vested with respect to an additional twenty-five percent (25%) (for a total of one hundred percent (100%)) of the Shares subject to the Award on the fourth anniversary of the Grant Date, subject to the continued employment of the Participant with the Company or an Affiliate through such vesting date.</w:t>
      </w:r>
    </w:p>
    <w:p>
      <w:pPr>
        <w:spacing w:after="0" w:line="196" w:lineRule="exact"/>
        <w:rPr>
          <w:rFonts w:ascii="Arial" w:cs="Arial" w:eastAsia="Arial" w:hAnsi="Arial"/>
          <w:sz w:val="21"/>
          <w:szCs w:val="21"/>
          <w:color w:val="auto"/>
        </w:rPr>
      </w:pPr>
    </w:p>
    <w:p>
      <w:pPr>
        <w:jc w:val="both"/>
        <w:ind w:left="660" w:firstLine="645"/>
        <w:spacing w:after="0" w:line="265" w:lineRule="auto"/>
        <w:tabs>
          <w:tab w:leader="none" w:pos="1767" w:val="left"/>
        </w:tabs>
        <w:numPr>
          <w:ilvl w:val="1"/>
          <w:numId w:val="118"/>
        </w:numPr>
        <w:rPr>
          <w:rFonts w:ascii="Arial" w:cs="Arial" w:eastAsia="Arial" w:hAnsi="Arial"/>
          <w:sz w:val="22"/>
          <w:szCs w:val="22"/>
          <w:color w:val="auto"/>
        </w:rPr>
      </w:pPr>
      <w:r>
        <w:rPr>
          <w:rFonts w:ascii="Arial" w:cs="Arial" w:eastAsia="Arial" w:hAnsi="Arial"/>
          <w:sz w:val="20"/>
          <w:szCs w:val="20"/>
          <w:i w:val="1"/>
          <w:iCs w:val="1"/>
          <w:u w:val="single" w:color="auto"/>
          <w:color w:val="auto"/>
        </w:rPr>
        <w:t>Special Post-Termination Vesting Terms</w:t>
      </w:r>
      <w:r>
        <w:rPr>
          <w:rFonts w:ascii="Arial" w:cs="Arial" w:eastAsia="Arial" w:hAnsi="Arial"/>
          <w:sz w:val="20"/>
          <w:szCs w:val="20"/>
          <w:color w:val="auto"/>
        </w:rPr>
        <w:t>. Notwithstanding the provisions of Section 2(a), the following terms shall apply</w:t>
      </w:r>
      <w:r>
        <w:rPr>
          <w:rFonts w:ascii="Arial" w:cs="Arial" w:eastAsia="Arial" w:hAnsi="Arial"/>
          <w:sz w:val="20"/>
          <w:szCs w:val="20"/>
          <w:i w:val="1"/>
          <w:iCs w:val="1"/>
          <w:color w:val="auto"/>
        </w:rPr>
        <w:t xml:space="preserve"> </w:t>
      </w:r>
      <w:r>
        <w:rPr>
          <w:rFonts w:ascii="Arial" w:cs="Arial" w:eastAsia="Arial" w:hAnsi="Arial"/>
          <w:sz w:val="20"/>
          <w:szCs w:val="20"/>
          <w:color w:val="auto"/>
        </w:rPr>
        <w:t>with respect to the Award, provided that the Participant resides in and is employed by the Company or an Affiliate based in the United States:</w:t>
      </w:r>
    </w:p>
    <w:p>
      <w:pPr>
        <w:spacing w:after="0" w:line="212" w:lineRule="exact"/>
        <w:rPr>
          <w:rFonts w:ascii="Arial" w:cs="Arial" w:eastAsia="Arial" w:hAnsi="Arial"/>
          <w:sz w:val="22"/>
          <w:szCs w:val="22"/>
          <w:color w:val="auto"/>
        </w:rPr>
      </w:pPr>
    </w:p>
    <w:p>
      <w:pPr>
        <w:ind w:left="660" w:firstLine="1293"/>
        <w:spacing w:after="0" w:line="265" w:lineRule="auto"/>
        <w:tabs>
          <w:tab w:leader="none" w:pos="2381" w:val="left"/>
        </w:tabs>
        <w:numPr>
          <w:ilvl w:val="2"/>
          <w:numId w:val="118"/>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Cause, the Award (and any remaining right to underlying Shares) shall be forfeited immediately.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Updated February 2016</w:t>
      </w:r>
    </w:p>
    <w:p>
      <w:pPr>
        <w:sectPr>
          <w:pgSz w:w="11900" w:h="16838" w:orient="portrait"/>
          <w:cols w:equalWidth="0" w:num="1">
            <w:col w:w="11420"/>
          </w:cols>
          <w:pgMar w:left="240" w:top="360" w:right="239" w:bottom="1440" w:gutter="0" w:footer="0" w:header="0"/>
        </w:sectPr>
      </w:pPr>
    </w:p>
    <w:bookmarkStart w:id="178" w:name="page179"/>
    <w:bookmarkEnd w:id="178"/>
    <w:p>
      <w:pPr>
        <w:ind w:left="1820" w:hanging="527"/>
        <w:spacing w:after="0"/>
        <w:tabs>
          <w:tab w:leader="none" w:pos="1820" w:val="left"/>
        </w:tabs>
        <w:numPr>
          <w:ilvl w:val="0"/>
          <w:numId w:val="119"/>
        </w:numPr>
        <w:rPr>
          <w:rFonts w:ascii="Arial" w:cs="Arial" w:eastAsia="Arial" w:hAnsi="Arial"/>
          <w:sz w:val="19"/>
          <w:szCs w:val="19"/>
          <w:color w:val="auto"/>
        </w:rPr>
      </w:pPr>
      <w:r>
        <w:rPr>
          <w:rFonts w:ascii="Arial" w:cs="Arial" w:eastAsia="Arial" w:hAnsi="Arial"/>
          <w:sz w:val="18"/>
          <w:szCs w:val="18"/>
          <w:color w:val="auto"/>
        </w:rPr>
        <w:t>In the event of the Participant’s death, the Award shall automatically fully vest effective as of the date of the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Participant’s death.</w:t>
      </w:r>
    </w:p>
    <w:p>
      <w:pPr>
        <w:spacing w:after="0" w:line="256" w:lineRule="exact"/>
        <w:rPr>
          <w:rFonts w:ascii="Arial" w:cs="Arial" w:eastAsia="Arial" w:hAnsi="Arial"/>
          <w:sz w:val="19"/>
          <w:szCs w:val="19"/>
          <w:color w:val="auto"/>
        </w:rPr>
      </w:pPr>
    </w:p>
    <w:p>
      <w:pPr>
        <w:ind w:firstLine="1293"/>
        <w:spacing w:after="0" w:line="265" w:lineRule="auto"/>
        <w:tabs>
          <w:tab w:leader="none" w:pos="1814" w:val="left"/>
        </w:tabs>
        <w:numPr>
          <w:ilvl w:val="0"/>
          <w:numId w:val="119"/>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any reason (including termination due to Disability) other than death or for Cause, the following terms shall apply with respect to the Award:</w:t>
      </w:r>
    </w:p>
    <w:p>
      <w:pPr>
        <w:spacing w:after="0" w:line="196" w:lineRule="exact"/>
        <w:rPr>
          <w:rFonts w:ascii="Arial" w:cs="Arial" w:eastAsia="Arial" w:hAnsi="Arial"/>
          <w:sz w:val="22"/>
          <w:szCs w:val="22"/>
          <w:color w:val="auto"/>
        </w:rPr>
      </w:pPr>
    </w:p>
    <w:p>
      <w:pPr>
        <w:jc w:val="both"/>
        <w:ind w:firstLine="1941"/>
        <w:spacing w:after="0" w:line="259" w:lineRule="auto"/>
        <w:tabs>
          <w:tab w:leader="none" w:pos="2412" w:val="left"/>
        </w:tabs>
        <w:numPr>
          <w:ilvl w:val="1"/>
          <w:numId w:val="119"/>
        </w:numPr>
        <w:rPr>
          <w:rFonts w:ascii="Arial" w:cs="Arial" w:eastAsia="Arial" w:hAnsi="Arial"/>
          <w:sz w:val="21"/>
          <w:szCs w:val="21"/>
          <w:color w:val="auto"/>
        </w:rPr>
      </w:pPr>
      <w:r>
        <w:rPr>
          <w:rFonts w:ascii="Arial" w:cs="Arial" w:eastAsia="Arial" w:hAnsi="Arial"/>
          <w:sz w:val="20"/>
          <w:szCs w:val="20"/>
          <w:color w:val="auto"/>
        </w:rPr>
        <w:t>If the Participant (1) has executed, within the Statutory Notice Period, a Release and, if so determined by the Company, a Severance Agreement, (2) does not revoke the Release prior to the end of the seven-day statutory revocation period, and (3) satisfies the Post-Employment Condition, then the Award shall continue to vest according to the vesting schedule stated in Section 2(a) above as if the Participant had remained an Employee of, or service provider to, the Company or an Affiliate during the Post-Termination Period.</w:t>
      </w:r>
    </w:p>
    <w:p>
      <w:pPr>
        <w:spacing w:after="0" w:line="191" w:lineRule="exact"/>
        <w:rPr>
          <w:rFonts w:ascii="Arial" w:cs="Arial" w:eastAsia="Arial" w:hAnsi="Arial"/>
          <w:sz w:val="21"/>
          <w:szCs w:val="21"/>
          <w:color w:val="auto"/>
        </w:rPr>
      </w:pPr>
    </w:p>
    <w:p>
      <w:pPr>
        <w:jc w:val="both"/>
        <w:ind w:firstLine="1941"/>
        <w:spacing w:after="0" w:line="261" w:lineRule="auto"/>
        <w:tabs>
          <w:tab w:leader="none" w:pos="2522" w:val="left"/>
        </w:tabs>
        <w:numPr>
          <w:ilvl w:val="1"/>
          <w:numId w:val="119"/>
        </w:numPr>
        <w:rPr>
          <w:rFonts w:ascii="Arial" w:cs="Arial" w:eastAsia="Arial" w:hAnsi="Arial"/>
          <w:sz w:val="21"/>
          <w:szCs w:val="21"/>
          <w:color w:val="auto"/>
        </w:rPr>
      </w:pPr>
      <w:r>
        <w:rPr>
          <w:rFonts w:ascii="Arial" w:cs="Arial" w:eastAsia="Arial" w:hAnsi="Arial"/>
          <w:sz w:val="20"/>
          <w:szCs w:val="20"/>
          <w:color w:val="auto"/>
        </w:rPr>
        <w:t>If the Participant fails to execute such Release and, if applicable, Severance Agreement, within the Statutory Notice Period, or revokes the Release prior to the end of the seven-day statutory revocation period, or violates the Post-Employment Condition, the Award (and any remaining right to underlying Shares) shall be deemed forfeited in its entirety as of the Termination Date.</w:t>
      </w:r>
    </w:p>
    <w:p>
      <w:pPr>
        <w:spacing w:after="0" w:line="189" w:lineRule="exact"/>
        <w:rPr>
          <w:rFonts w:ascii="Arial" w:cs="Arial" w:eastAsia="Arial" w:hAnsi="Arial"/>
          <w:sz w:val="21"/>
          <w:szCs w:val="21"/>
          <w:color w:val="auto"/>
        </w:rPr>
      </w:pPr>
    </w:p>
    <w:p>
      <w:pPr>
        <w:jc w:val="both"/>
        <w:ind w:firstLine="1941"/>
        <w:spacing w:after="0" w:line="286" w:lineRule="auto"/>
        <w:tabs>
          <w:tab w:leader="none" w:pos="2495" w:val="left"/>
        </w:tabs>
        <w:numPr>
          <w:ilvl w:val="1"/>
          <w:numId w:val="119"/>
        </w:numPr>
        <w:rPr>
          <w:rFonts w:ascii="Arial" w:cs="Arial" w:eastAsia="Arial" w:hAnsi="Arial"/>
          <w:sz w:val="19"/>
          <w:szCs w:val="19"/>
          <w:color w:val="auto"/>
        </w:rPr>
      </w:pPr>
      <w:r>
        <w:rPr>
          <w:rFonts w:ascii="Arial" w:cs="Arial" w:eastAsia="Arial" w:hAnsi="Arial"/>
          <w:sz w:val="18"/>
          <w:szCs w:val="18"/>
          <w:color w:val="auto"/>
        </w:rPr>
        <w:t>If the Administrator determines in the exercise of its discretion that the Participant has committed a breach or violation of the Release, the Severance Agreement, the ICN Agreement or the Post-Employment Condition at any time on or prior to the end of the Post-Termination Period (without regard to when the Administrator first discovers or has notice of any such breach or violation), then, in addition to any other remedies available to the Company at law or in equity as a result of such breach or violation, (1) 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 related to the grant or vesting of the Award), and the Participant shall cease to have any interest in or right to such Shares and shall cease to be recognized as the legal owner of such Shares; and (3)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2.</w:t>
      </w:r>
    </w:p>
    <w:p>
      <w:pPr>
        <w:spacing w:after="0" w:line="173" w:lineRule="exact"/>
        <w:rPr>
          <w:rFonts w:ascii="Arial" w:cs="Arial" w:eastAsia="Arial" w:hAnsi="Arial"/>
          <w:sz w:val="19"/>
          <w:szCs w:val="19"/>
          <w:color w:val="auto"/>
        </w:rPr>
      </w:pPr>
    </w:p>
    <w:p>
      <w:pPr>
        <w:ind w:right="20" w:firstLine="1941"/>
        <w:spacing w:after="0" w:line="334" w:lineRule="auto"/>
        <w:tabs>
          <w:tab w:leader="none" w:pos="2426" w:val="left"/>
        </w:tabs>
        <w:numPr>
          <w:ilvl w:val="1"/>
          <w:numId w:val="119"/>
        </w:numPr>
        <w:rPr>
          <w:rFonts w:ascii="Arial" w:cs="Arial" w:eastAsia="Arial" w:hAnsi="Arial"/>
          <w:sz w:val="19"/>
          <w:szCs w:val="19"/>
          <w:color w:val="auto"/>
        </w:rPr>
      </w:pPr>
      <w:r>
        <w:rPr>
          <w:rFonts w:ascii="Arial" w:cs="Arial" w:eastAsia="Arial" w:hAnsi="Arial"/>
          <w:sz w:val="18"/>
          <w:szCs w:val="18"/>
          <w:color w:val="auto"/>
        </w:rPr>
        <w:t>If, during the Post-Termination Period, the Participant dies, to the extent the Award is not fully vested as of the date of the Participant’s death, the Award shall automatically fully vest effective as of the date of the Participant’s death.</w:t>
      </w:r>
    </w:p>
    <w:p>
      <w:pPr>
        <w:spacing w:after="0" w:line="137" w:lineRule="exact"/>
        <w:rPr>
          <w:rFonts w:ascii="Arial" w:cs="Arial" w:eastAsia="Arial" w:hAnsi="Arial"/>
          <w:sz w:val="19"/>
          <w:szCs w:val="19"/>
          <w:color w:val="auto"/>
        </w:rPr>
      </w:pPr>
    </w:p>
    <w:p>
      <w:pPr>
        <w:jc w:val="both"/>
        <w:ind w:firstLine="1293"/>
        <w:spacing w:after="0" w:line="266" w:lineRule="auto"/>
        <w:tabs>
          <w:tab w:leader="none" w:pos="1843" w:val="left"/>
        </w:tabs>
        <w:numPr>
          <w:ilvl w:val="0"/>
          <w:numId w:val="119"/>
        </w:numPr>
        <w:rPr>
          <w:rFonts w:ascii="Arial" w:cs="Arial" w:eastAsia="Arial" w:hAnsi="Arial"/>
          <w:sz w:val="22"/>
          <w:szCs w:val="22"/>
          <w:color w:val="auto"/>
        </w:rPr>
      </w:pPr>
      <w:r>
        <w:rPr>
          <w:rFonts w:ascii="Arial" w:cs="Arial" w:eastAsia="Arial" w:hAnsi="Arial"/>
          <w:sz w:val="20"/>
          <w:szCs w:val="20"/>
          <w:color w:val="auto"/>
        </w:rPr>
        <w:t>Except as otherwise provided in Section 2(b)(v) below, any Shares and any other benefit subject to the Award distributable to the Participant following termination of employment or service pursuant to Section 2(b) herein shall be issued in accordance with the vesting schedule stated in Section 2(a) above and shall be distributed on such vesting dates or a later date(s) within the same taxable year of the Participant’s termination, or, if later, by the 15th day of the third calendar month following the date(s) specified in Section 2(a) and the Participant shall not be</w:t>
      </w:r>
    </w:p>
    <w:p>
      <w:pPr>
        <w:spacing w:after="0" w:line="200" w:lineRule="exact"/>
        <w:rPr>
          <w:sz w:val="20"/>
          <w:szCs w:val="20"/>
          <w:color w:val="auto"/>
        </w:rPr>
      </w:pPr>
    </w:p>
    <w:p>
      <w:pPr>
        <w:spacing w:after="0" w:line="23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0"/>
          </w:cols>
          <w:pgMar w:left="900" w:top="393" w:right="239" w:bottom="1440" w:gutter="0" w:footer="0" w:header="0"/>
        </w:sectPr>
      </w:pPr>
    </w:p>
    <w:bookmarkStart w:id="179" w:name="page180"/>
    <w:bookmarkEnd w:id="179"/>
    <w:p>
      <w:pPr>
        <w:spacing w:after="0" w:line="260" w:lineRule="auto"/>
        <w:rPr>
          <w:sz w:val="20"/>
          <w:szCs w:val="20"/>
          <w:color w:val="auto"/>
        </w:rPr>
      </w:pPr>
      <w:r>
        <w:rPr>
          <w:rFonts w:ascii="Arial" w:cs="Arial" w:eastAsia="Arial" w:hAnsi="Arial"/>
          <w:sz w:val="20"/>
          <w:szCs w:val="20"/>
          <w:color w:val="auto"/>
        </w:rPr>
        <w:t>permitted, directly or indirectly, to designate the taxable year of distribution, or shall otherwise be made in accordance with Code Section 409A and related regulations.</w:t>
      </w:r>
    </w:p>
    <w:p>
      <w:pPr>
        <w:spacing w:after="0" w:line="204" w:lineRule="exact"/>
        <w:rPr>
          <w:sz w:val="20"/>
          <w:szCs w:val="20"/>
          <w:color w:val="auto"/>
        </w:rPr>
      </w:pPr>
    </w:p>
    <w:p>
      <w:pPr>
        <w:jc w:val="both"/>
        <w:ind w:firstLine="1293"/>
        <w:spacing w:after="0" w:line="323" w:lineRule="auto"/>
        <w:tabs>
          <w:tab w:leader="none" w:pos="1729" w:val="left"/>
        </w:tabs>
        <w:numPr>
          <w:ilvl w:val="1"/>
          <w:numId w:val="120"/>
        </w:numPr>
        <w:rPr>
          <w:rFonts w:ascii="Arial" w:cs="Arial" w:eastAsia="Arial" w:hAnsi="Arial"/>
          <w:sz w:val="18"/>
          <w:szCs w:val="18"/>
          <w:color w:val="auto"/>
        </w:rPr>
      </w:pPr>
      <w:r>
        <w:rPr>
          <w:rFonts w:ascii="Arial" w:cs="Arial" w:eastAsia="Arial" w:hAnsi="Arial"/>
          <w:sz w:val="17"/>
          <w:szCs w:val="17"/>
          <w:color w:val="auto"/>
        </w:rPr>
        <w:t>Any Shares issuable to such person or persons as shall have acquired the right to the Award by will or by the laws of descent and distribution following the Participant’s death pursuant to Section 2(b)(ii) or Section 2(b)(iii)(D) above shall be issued to such person or persons on the date that is the 90th day following the date of the Participant’s death and shall be distributed on such issuance date or a later date within the same taxable year of the Participant’s death, or, if later, by the 15th day of the third calendar month following the taxable year of the Participant’s death and the Participant (or such person or persons as shall have acquired the right to the Award by will or by the laws of descent and distribution) shall not be permitted, directly or indirectly, to designate the taxable year of distribution, or shall otherwise be issued and distributed in accordance with Code Section 409A and related regulations.</w:t>
      </w:r>
    </w:p>
    <w:p>
      <w:pPr>
        <w:spacing w:after="0" w:line="168" w:lineRule="exact"/>
        <w:rPr>
          <w:rFonts w:ascii="Arial" w:cs="Arial" w:eastAsia="Arial" w:hAnsi="Arial"/>
          <w:sz w:val="18"/>
          <w:szCs w:val="18"/>
          <w:color w:val="auto"/>
        </w:rPr>
      </w:pPr>
    </w:p>
    <w:p>
      <w:pPr>
        <w:ind w:left="1060" w:hanging="415"/>
        <w:spacing w:after="0"/>
        <w:tabs>
          <w:tab w:leader="none" w:pos="1060" w:val="left"/>
        </w:tabs>
        <w:numPr>
          <w:ilvl w:val="0"/>
          <w:numId w:val="121"/>
        </w:numPr>
        <w:rPr>
          <w:rFonts w:ascii="Arial" w:cs="Arial" w:eastAsia="Arial" w:hAnsi="Arial"/>
          <w:sz w:val="19"/>
          <w:szCs w:val="19"/>
          <w:color w:val="auto"/>
        </w:rPr>
      </w:pPr>
      <w:r>
        <w:rPr>
          <w:rFonts w:ascii="Arial" w:cs="Arial" w:eastAsia="Arial" w:hAnsi="Arial"/>
          <w:sz w:val="18"/>
          <w:szCs w:val="18"/>
          <w:i w:val="1"/>
          <w:iCs w:val="1"/>
          <w:u w:val="single" w:color="auto"/>
          <w:color w:val="auto"/>
        </w:rPr>
        <w:t>Defined Terms</w:t>
      </w:r>
      <w:r>
        <w:rPr>
          <w:rFonts w:ascii="Arial" w:cs="Arial" w:eastAsia="Arial" w:hAnsi="Arial"/>
          <w:sz w:val="18"/>
          <w:szCs w:val="18"/>
          <w:color w:val="auto"/>
        </w:rPr>
        <w:t>: In addition to other terms defined herein or in the Agreement, the following terms shall have the meanings</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given below:</w:t>
      </w:r>
    </w:p>
    <w:p>
      <w:pPr>
        <w:spacing w:after="0" w:line="148" w:lineRule="exact"/>
        <w:rPr>
          <w:rFonts w:ascii="Arial" w:cs="Arial" w:eastAsia="Arial" w:hAnsi="Arial"/>
          <w:sz w:val="19"/>
          <w:szCs w:val="19"/>
          <w:color w:val="auto"/>
        </w:rPr>
      </w:pPr>
    </w:p>
    <w:p>
      <w:pPr>
        <w:ind w:firstLine="1293"/>
        <w:spacing w:after="0" w:line="265" w:lineRule="auto"/>
        <w:tabs>
          <w:tab w:leader="none" w:pos="1734" w:val="left"/>
        </w:tabs>
        <w:numPr>
          <w:ilvl w:val="1"/>
          <w:numId w:val="121"/>
        </w:numPr>
        <w:rPr>
          <w:rFonts w:ascii="Arial" w:cs="Arial" w:eastAsia="Arial" w:hAnsi="Arial"/>
          <w:sz w:val="22"/>
          <w:szCs w:val="22"/>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w:t>
      </w:r>
    </w:p>
    <w:p>
      <w:pPr>
        <w:spacing w:after="0" w:line="210" w:lineRule="exact"/>
        <w:rPr>
          <w:sz w:val="20"/>
          <w:szCs w:val="20"/>
          <w:color w:val="auto"/>
        </w:rPr>
      </w:pPr>
    </w:p>
    <w:p>
      <w:pPr>
        <w:ind w:right="20" w:firstLine="1293"/>
        <w:spacing w:after="0" w:line="265" w:lineRule="auto"/>
        <w:tabs>
          <w:tab w:leader="none" w:pos="1781" w:val="left"/>
        </w:tabs>
        <w:numPr>
          <w:ilvl w:val="0"/>
          <w:numId w:val="122"/>
        </w:numPr>
        <w:rPr>
          <w:rFonts w:ascii="Arial" w:cs="Arial" w:eastAsia="Arial" w:hAnsi="Arial"/>
          <w:sz w:val="22"/>
          <w:szCs w:val="22"/>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209" w:lineRule="exact"/>
        <w:rPr>
          <w:rFonts w:ascii="Arial" w:cs="Arial" w:eastAsia="Arial" w:hAnsi="Arial"/>
          <w:sz w:val="22"/>
          <w:szCs w:val="22"/>
          <w:color w:val="auto"/>
        </w:rPr>
      </w:pPr>
    </w:p>
    <w:p>
      <w:pPr>
        <w:jc w:val="both"/>
        <w:ind w:firstLine="1293"/>
        <w:spacing w:after="0" w:line="265" w:lineRule="auto"/>
        <w:tabs>
          <w:tab w:leader="none" w:pos="1963" w:val="left"/>
        </w:tabs>
        <w:numPr>
          <w:ilvl w:val="0"/>
          <w:numId w:val="122"/>
        </w:numPr>
        <w:rPr>
          <w:rFonts w:ascii="Arial" w:cs="Arial" w:eastAsia="Arial" w:hAnsi="Arial"/>
          <w:sz w:val="22"/>
          <w:szCs w:val="22"/>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212" w:lineRule="exact"/>
        <w:rPr>
          <w:rFonts w:ascii="Arial" w:cs="Arial" w:eastAsia="Arial" w:hAnsi="Arial"/>
          <w:sz w:val="22"/>
          <w:szCs w:val="22"/>
          <w:color w:val="auto"/>
        </w:rPr>
      </w:pPr>
    </w:p>
    <w:p>
      <w:pPr>
        <w:ind w:firstLine="1293"/>
        <w:spacing w:after="0" w:line="265" w:lineRule="auto"/>
        <w:tabs>
          <w:tab w:leader="none" w:pos="1829" w:val="left"/>
        </w:tabs>
        <w:numPr>
          <w:ilvl w:val="0"/>
          <w:numId w:val="122"/>
        </w:numPr>
        <w:rPr>
          <w:rFonts w:ascii="Arial" w:cs="Arial" w:eastAsia="Arial" w:hAnsi="Arial"/>
          <w:sz w:val="22"/>
          <w:szCs w:val="22"/>
          <w:color w:val="auto"/>
        </w:rPr>
      </w:pPr>
      <w:r>
        <w:rPr>
          <w:rFonts w:ascii="Arial" w:cs="Arial" w:eastAsia="Arial" w:hAnsi="Arial"/>
          <w:sz w:val="20"/>
          <w:szCs w:val="20"/>
          <w:color w:val="auto"/>
        </w:rPr>
        <w:t>“Post-Termination Period” means the period commencing on the Participant’s Termination Date and ending on the date that the last installment of Shares covered by the Award vests under this Agreement.</w:t>
      </w:r>
    </w:p>
    <w:p>
      <w:pPr>
        <w:spacing w:after="0" w:line="209" w:lineRule="exact"/>
        <w:rPr>
          <w:rFonts w:ascii="Arial" w:cs="Arial" w:eastAsia="Arial" w:hAnsi="Arial"/>
          <w:sz w:val="22"/>
          <w:szCs w:val="22"/>
          <w:color w:val="auto"/>
        </w:rPr>
      </w:pPr>
    </w:p>
    <w:p>
      <w:pPr>
        <w:jc w:val="both"/>
        <w:ind w:firstLine="1293"/>
        <w:spacing w:after="0" w:line="313" w:lineRule="auto"/>
        <w:tabs>
          <w:tab w:leader="none" w:pos="1756" w:val="left"/>
        </w:tabs>
        <w:numPr>
          <w:ilvl w:val="0"/>
          <w:numId w:val="122"/>
        </w:numPr>
        <w:rPr>
          <w:rFonts w:ascii="Arial" w:cs="Arial" w:eastAsia="Arial" w:hAnsi="Arial"/>
          <w:sz w:val="19"/>
          <w:szCs w:val="19"/>
          <w:color w:val="auto"/>
        </w:rPr>
      </w:pPr>
      <w:r>
        <w:rPr>
          <w:rFonts w:ascii="Arial" w:cs="Arial" w:eastAsia="Arial" w:hAnsi="Arial"/>
          <w:sz w:val="18"/>
          <w:szCs w:val="18"/>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174" w:lineRule="exact"/>
        <w:rPr>
          <w:rFonts w:ascii="Arial" w:cs="Arial" w:eastAsia="Arial" w:hAnsi="Arial"/>
          <w:sz w:val="19"/>
          <w:szCs w:val="19"/>
          <w:color w:val="auto"/>
        </w:rPr>
      </w:pPr>
    </w:p>
    <w:p>
      <w:pPr>
        <w:jc w:val="both"/>
        <w:ind w:firstLine="1293"/>
        <w:spacing w:after="0" w:line="265" w:lineRule="auto"/>
        <w:tabs>
          <w:tab w:leader="none" w:pos="1815" w:val="left"/>
        </w:tabs>
        <w:numPr>
          <w:ilvl w:val="0"/>
          <w:numId w:val="122"/>
        </w:numPr>
        <w:rPr>
          <w:rFonts w:ascii="Arial" w:cs="Arial" w:eastAsia="Arial" w:hAnsi="Arial"/>
          <w:sz w:val="22"/>
          <w:szCs w:val="22"/>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212" w:lineRule="exact"/>
        <w:rPr>
          <w:rFonts w:ascii="Arial" w:cs="Arial" w:eastAsia="Arial" w:hAnsi="Arial"/>
          <w:sz w:val="22"/>
          <w:szCs w:val="22"/>
          <w:color w:val="auto"/>
        </w:rPr>
      </w:pPr>
    </w:p>
    <w:p>
      <w:pPr>
        <w:ind w:right="20" w:firstLine="1293"/>
        <w:spacing w:after="0" w:line="265" w:lineRule="auto"/>
        <w:tabs>
          <w:tab w:leader="none" w:pos="2011" w:val="left"/>
        </w:tabs>
        <w:numPr>
          <w:ilvl w:val="0"/>
          <w:numId w:val="122"/>
        </w:numPr>
        <w:rPr>
          <w:rFonts w:ascii="Arial" w:cs="Arial" w:eastAsia="Arial" w:hAnsi="Arial"/>
          <w:sz w:val="22"/>
          <w:szCs w:val="22"/>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200" w:lineRule="exact"/>
        <w:rPr>
          <w:sz w:val="20"/>
          <w:szCs w:val="20"/>
          <w:color w:val="auto"/>
        </w:rPr>
      </w:pPr>
    </w:p>
    <w:p>
      <w:pPr>
        <w:spacing w:after="0" w:line="22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0"/>
          </w:cols>
          <w:pgMar w:left="900" w:top="366" w:right="239" w:bottom="1440" w:gutter="0" w:footer="0" w:header="0"/>
        </w:sectPr>
      </w:pPr>
    </w:p>
    <w:bookmarkStart w:id="180" w:name="page181"/>
    <w:bookmarkEnd w:id="180"/>
    <w:p>
      <w:pPr>
        <w:jc w:val="both"/>
        <w:ind w:firstLine="656"/>
        <w:spacing w:after="0" w:line="278" w:lineRule="auto"/>
        <w:tabs>
          <w:tab w:leader="none" w:pos="1445"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If the Company pays a dividend at any time after the Grant Date, such dividends shall be paid to the Participant in accordance with Section 7 of the Agreement and Sections 2(b)(iv) and 2(b)(v) of this Schedule A upon and to the extent of the vesting of the underlying Shares.</w:t>
      </w:r>
    </w:p>
    <w:p>
      <w:pPr>
        <w:spacing w:after="0" w:line="173" w:lineRule="exact"/>
        <w:rPr>
          <w:sz w:val="20"/>
          <w:szCs w:val="20"/>
          <w:color w:val="auto"/>
        </w:rPr>
      </w:pPr>
    </w:p>
    <w:p>
      <w:pPr>
        <w:jc w:val="center"/>
        <w:ind w:left="660"/>
        <w:spacing w:after="0"/>
        <w:rPr>
          <w:sz w:val="20"/>
          <w:szCs w:val="20"/>
          <w:color w:val="auto"/>
        </w:rPr>
      </w:pPr>
      <w:r>
        <w:rPr>
          <w:rFonts w:ascii="Arial" w:cs="Arial" w:eastAsia="Arial" w:hAnsi="Arial"/>
          <w:sz w:val="20"/>
          <w:szCs w:val="20"/>
          <w:i w:val="1"/>
          <w:iCs w:val="1"/>
          <w:color w:val="auto"/>
        </w:rPr>
        <w:t>[Signature Page to Follow]</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By my signature below, I, the Participant, hereby acknowledge receipt of this Grant Letter and the Agreement, including any special terms and conditions for my country in the Appendix attached thereto. I understand that the Grant Letter and other provisions of Schedule A herein are incorporated by reference into the Agreement and constitute a part of the Agreement. </w:t>
      </w:r>
      <w:r>
        <w:rPr>
          <w:rFonts w:ascii="Arial" w:cs="Arial" w:eastAsia="Arial" w:hAnsi="Arial"/>
          <w:sz w:val="19"/>
          <w:szCs w:val="19"/>
          <w:u w:val="single" w:color="auto"/>
          <w:color w:val="auto"/>
        </w:rPr>
        <w:t>By my signature below, I further agree to be</w:t>
      </w:r>
      <w:r>
        <w:rPr>
          <w:rFonts w:ascii="Arial" w:cs="Arial" w:eastAsia="Arial" w:hAnsi="Arial"/>
          <w:sz w:val="19"/>
          <w:szCs w:val="19"/>
          <w:color w:val="auto"/>
        </w:rPr>
        <w:t xml:space="preserve"> </w:t>
      </w:r>
      <w:r>
        <w:rPr>
          <w:rFonts w:ascii="Arial" w:cs="Arial" w:eastAsia="Arial" w:hAnsi="Arial"/>
          <w:sz w:val="19"/>
          <w:szCs w:val="19"/>
          <w:u w:val="single" w:color="auto"/>
          <w:color w:val="auto"/>
        </w:rPr>
        <w:t>bound by the terms of the Plan and the Agreement, including but not limited to the terms of this Grant Letter and the other provisions of Schedule A contained herein. The Company reserves the right to treat the Award and the Agreement as cancelled, void and of no effect if the Participant fails to return a signed copy of the Grant Letter within thirty (30) days of receipt</w:t>
      </w:r>
      <w:r>
        <w:rPr>
          <w:rFonts w:ascii="Arial" w:cs="Arial" w:eastAsia="Arial" w:hAnsi="Arial"/>
          <w:sz w:val="19"/>
          <w:szCs w:val="19"/>
          <w:color w:val="auto"/>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5500" w:val="left"/>
        </w:tabs>
        <w:rPr>
          <w:sz w:val="20"/>
          <w:szCs w:val="20"/>
          <w:color w:val="auto"/>
        </w:rPr>
      </w:pPr>
      <w:r>
        <w:rPr>
          <w:rFonts w:ascii="Arial" w:cs="Arial" w:eastAsia="Arial" w:hAnsi="Arial"/>
          <w:sz w:val="20"/>
          <w:szCs w:val="20"/>
          <w:color w:val="auto"/>
        </w:rPr>
        <w:t>Signature: ___________________________________________</w:t>
      </w:r>
      <w:r>
        <w:rPr>
          <w:sz w:val="20"/>
          <w:szCs w:val="20"/>
          <w:color w:val="auto"/>
        </w:rPr>
        <w:tab/>
      </w:r>
      <w:r>
        <w:rPr>
          <w:rFonts w:ascii="Arial" w:cs="Arial" w:eastAsia="Arial" w:hAnsi="Arial"/>
          <w:sz w:val="16"/>
          <w:szCs w:val="16"/>
          <w:color w:val="auto"/>
        </w:rPr>
        <w:t>Date: _____________</w:t>
      </w: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79" w:right="239" w:bottom="1440" w:gutter="0" w:footer="0" w:header="0"/>
        </w:sectPr>
      </w:pPr>
    </w:p>
    <w:bookmarkStart w:id="181" w:name="page182"/>
    <w:bookmarkEnd w:id="181"/>
    <w:p>
      <w:pPr>
        <w:ind w:left="5080"/>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2012 STOCK INCENTIVE PLAN</w:t>
      </w:r>
    </w:p>
    <w:p>
      <w:pPr>
        <w:ind w:left="4300"/>
        <w:spacing w:after="0"/>
        <w:rPr>
          <w:sz w:val="20"/>
          <w:szCs w:val="20"/>
          <w:color w:val="auto"/>
        </w:rPr>
      </w:pPr>
      <w:r>
        <w:rPr>
          <w:rFonts w:ascii="Arial" w:cs="Arial" w:eastAsia="Arial" w:hAnsi="Arial"/>
          <w:sz w:val="20"/>
          <w:szCs w:val="20"/>
          <w:b w:val="1"/>
          <w:bCs w:val="1"/>
          <w:color w:val="auto"/>
        </w:rPr>
        <w:t>Restricted Stock Unit Agreement</w:t>
      </w:r>
    </w:p>
    <w:p>
      <w:pPr>
        <w:ind w:left="2880"/>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THIS AGREEMENT, including any special terms and conditions for the Participant’s country set forth in the appendix attached hereto (the “Appendix”) (together with Schedule A and Schedule B, attached hereto, the “Agreement”), is made effective as of 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“Effective Date”) between QORVO, INC., a Delaware corporation (the “Company”), and ________________, an Employee of, or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individual in service to, the Company or an Affiliate (the “Participant”).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the Compensation Committee of the Board of Directors of the Company (the “Administrator”) has approved the grant to the Participant of a contingent right to receive an award of Restricted Stock Units (the “Award”) for shares of Common Stock issuable under the Qorvo, Inc. 2012 Stock Incentive Plan (As Assumed by Qorvo, Inc. and Amended and Restated Effective January 1, 2015) (Formerly, the RF Micro Devices, Inc. 2012 Stock Incentive Plan), as it may be amended (the “Plan”), the grant of which Award is subject to the attainment of certain performance objectives and the vesting of which Award is subject to certain service requirements, as further described in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furtherance of the purposes of the Plan, the Company and the Participant hereby agree as follows:</w:t>
      </w:r>
    </w:p>
    <w:p>
      <w:pPr>
        <w:spacing w:after="0" w:line="241" w:lineRule="exact"/>
        <w:rPr>
          <w:sz w:val="20"/>
          <w:szCs w:val="20"/>
          <w:color w:val="auto"/>
        </w:rPr>
      </w:pPr>
    </w:p>
    <w:p>
      <w:pPr>
        <w:jc w:val="both"/>
        <w:ind w:firstLine="656"/>
        <w:spacing w:after="0" w:line="314" w:lineRule="auto"/>
        <w:tabs>
          <w:tab w:leader="none" w:pos="144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this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45" w:lineRule="exact"/>
        <w:rPr>
          <w:rFonts w:ascii="Arial" w:cs="Arial" w:eastAsia="Arial" w:hAnsi="Arial"/>
          <w:sz w:val="18"/>
          <w:szCs w:val="18"/>
          <w:color w:val="auto"/>
        </w:rPr>
      </w:pPr>
    </w:p>
    <w:p>
      <w:pPr>
        <w:ind w:left="980" w:hanging="324"/>
        <w:spacing w:after="0"/>
        <w:tabs>
          <w:tab w:leader="none" w:pos="98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Certain Defined Terms</w:t>
      </w:r>
      <w:r>
        <w:rPr>
          <w:rFonts w:ascii="Arial" w:cs="Arial" w:eastAsia="Arial" w:hAnsi="Arial"/>
          <w:sz w:val="19"/>
          <w:szCs w:val="19"/>
          <w:color w:val="auto"/>
        </w:rPr>
        <w:t>. The following terms used in this Agreement shall have the meanings set forth in this Section 2:</w:t>
      </w:r>
    </w:p>
    <w:p>
      <w:pPr>
        <w:spacing w:after="0" w:line="227" w:lineRule="exact"/>
        <w:rPr>
          <w:rFonts w:ascii="Arial" w:cs="Arial" w:eastAsia="Arial" w:hAnsi="Arial"/>
          <w:sz w:val="19"/>
          <w:szCs w:val="19"/>
          <w:color w:val="auto"/>
        </w:rPr>
      </w:pPr>
    </w:p>
    <w:p>
      <w:pPr>
        <w:jc w:val="both"/>
        <w:ind w:left="660" w:firstLine="645"/>
        <w:spacing w:after="0" w:line="246" w:lineRule="auto"/>
        <w:tabs>
          <w:tab w:leader="none" w:pos="1762"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“Award Date” is the date on which the Award or any portion of the Award is or may be granted to the Participant following the Administrator’s determination regarding whether all or a portion of the Performance Objectives have been attained and completion of such other action as may be necessary to complete the grant of the Award or a portion of the Award. Performance Objectives may have separate Award Dates.</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“Effective Date” is the effective date of the Agreement, as stated above.</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“Participant” is __________. Participant ID#__________.</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“Performance Objectives” are the specific performance objectives identified in Schedule B attached hereto.</w:t>
      </w:r>
    </w:p>
    <w:p>
      <w:pPr>
        <w:spacing w:after="0" w:line="215" w:lineRule="exact"/>
        <w:rPr>
          <w:rFonts w:ascii="Arial" w:cs="Arial" w:eastAsia="Arial" w:hAnsi="Arial"/>
          <w:sz w:val="20"/>
          <w:szCs w:val="20"/>
          <w:color w:val="auto"/>
        </w:rPr>
      </w:pPr>
    </w:p>
    <w:p>
      <w:pPr>
        <w:ind w:left="660" w:firstLine="645"/>
        <w:spacing w:after="0" w:line="287" w:lineRule="auto"/>
        <w:tabs>
          <w:tab w:leader="none" w:pos="188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“Performance Period” or “Performance Periods” shall be the Performance Period or Performance Periods as described in Schedule B. Performance Objectives may have different Performance Periods, if so provided in Schedule B.</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0" w:right="239" w:bottom="1440" w:gutter="0" w:footer="0" w:header="0"/>
        </w:sectPr>
      </w:pPr>
    </w:p>
    <w:bookmarkStart w:id="182" w:name="page183"/>
    <w:bookmarkEnd w:id="182"/>
    <w:p>
      <w:pPr>
        <w:ind w:left="660" w:right="20" w:firstLine="645"/>
        <w:spacing w:after="0" w:line="260" w:lineRule="auto"/>
        <w:tabs>
          <w:tab w:leader="none" w:pos="1727"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“Restriction Period” is the period beginning on the Award Date and ending on such date or dates and occurrence of such conditions as described in Section 3 of Schedule A attached hereto.</w:t>
      </w:r>
    </w:p>
    <w:p>
      <w:pPr>
        <w:spacing w:after="0" w:line="176" w:lineRule="exact"/>
        <w:rPr>
          <w:rFonts w:ascii="Arial" w:cs="Arial" w:eastAsia="Arial" w:hAnsi="Arial"/>
          <w:sz w:val="20"/>
          <w:szCs w:val="20"/>
          <w:color w:val="auto"/>
        </w:rPr>
      </w:pPr>
    </w:p>
    <w:p>
      <w:pPr>
        <w:ind w:left="660" w:firstLine="645"/>
        <w:spacing w:after="0" w:line="260" w:lineRule="auto"/>
        <w:tabs>
          <w:tab w:leader="none" w:pos="1732"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“Shares” shall be that number, if any, of shares of Common Stock subject to the Award which are or may be granted under this Agreement, as such number may be determined in accordance with Section 1 of Schedule A.</w:t>
      </w:r>
    </w:p>
    <w:p>
      <w:pPr>
        <w:spacing w:after="0" w:line="176" w:lineRule="exact"/>
        <w:rPr>
          <w:rFonts w:ascii="Arial" w:cs="Arial" w:eastAsia="Arial" w:hAnsi="Arial"/>
          <w:sz w:val="20"/>
          <w:szCs w:val="20"/>
          <w:color w:val="auto"/>
        </w:rPr>
      </w:pPr>
    </w:p>
    <w:p>
      <w:pPr>
        <w:ind w:left="980" w:hanging="324"/>
        <w:spacing w:after="0"/>
        <w:tabs>
          <w:tab w:leader="none" w:pos="98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Award Opportunity; Incorporation of the Terms of Schedule A and Schedule B of the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73" w:lineRule="auto"/>
        <w:tabs>
          <w:tab w:leader="none" w:pos="174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Company hereby grants to the Participant an opportunity to be granted the Award for a certain number of shares of Common Stock (as defined above, the “Shares”) based upon the level of attainment of the Performance Objectives, all as described in Schedule A and Schedule B, during the Performance Period. The number, if any, of Shares subject to the Award shall be determined by the Administrator based on the achievement of the Performance Objectives described in Schedule B. No Award is being granted at this time, and no Award shall be granted unless and until the Administrator, in its sole discretion and in accordance with the terms of the Plan and this Agreement, determines whether and to what extent the Award has been earned (including but not limited to determining whether and to what extent the Performance Objectives have been met), determines the number of Shares that shall be subject to the Award and takes any other action it deems necessary or advisable in order to complete the grant.</w:t>
      </w:r>
    </w:p>
    <w:p>
      <w:pPr>
        <w:spacing w:after="0" w:line="169" w:lineRule="exact"/>
        <w:rPr>
          <w:rFonts w:ascii="Arial" w:cs="Arial" w:eastAsia="Arial" w:hAnsi="Arial"/>
          <w:sz w:val="18"/>
          <w:szCs w:val="18"/>
          <w:color w:val="auto"/>
        </w:rPr>
      </w:pPr>
    </w:p>
    <w:p>
      <w:pPr>
        <w:jc w:val="both"/>
        <w:ind w:left="660" w:firstLine="645"/>
        <w:spacing w:after="0" w:line="246" w:lineRule="auto"/>
        <w:tabs>
          <w:tab w:leader="none" w:pos="1719"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The Participant expressly acknowledges that the terms of Schedule A and Schedule B are incorporated herein by reference and constitute part of this Agreement. The Company and the Participant further acknowledge that the Company’s signature on the signature page hereof, and the Participant’s signature on the Grant Letter contained in Schedule A, constitute their acceptance of all of the terms of this Agreement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70" w:lineRule="auto"/>
        <w:tabs>
          <w:tab w:leader="none" w:pos="107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Subject to the terms of this Agreement and the Plan, the Company shall grant the Participant an Award of Restricted Stock Units (as defined above, the “Award”) for that number of Shares as is determined in accordance with Schedule A and Schedule B if and only if the minimum (and up to the maximum) of the Performance Objectives are met during the Performance Period, as further described in Schedule A and Schedule B. The number of Shares, if any, subject to the Award shall be determined by the Administrator in its sole discretion in accordance with the Plan and this Agreement (including Schedule A and Schedule B) following completion of the applicable Performance Period. The Award Date shall be as soon as practicable after the end of the applicable Performance Period and the Administrator’s determination of the extent, if any, to which the Performance Objectives have been met and the Award has been earned (but, in any event, shall be in the calendar year that the applicable Performance Period ends). The Award shall not be deemed earned, and the Award Date shall not occur, unless and until the Administrator determines the extent, if any to which the Award has been earned following completion of the applicable Performance Period (unless the Administrator determines otherwise). The Company shall give notice to the Participant after each Performance Period regarding whether the Award applicable to that Performance Period has been granted and the number of Shares subject to the Award.</w:t>
      </w:r>
    </w:p>
    <w:p>
      <w:pPr>
        <w:spacing w:after="0" w:line="176" w:lineRule="exact"/>
        <w:rPr>
          <w:rFonts w:ascii="Arial" w:cs="Arial" w:eastAsia="Arial" w:hAnsi="Arial"/>
          <w:sz w:val="18"/>
          <w:szCs w:val="18"/>
          <w:color w:val="auto"/>
        </w:rPr>
      </w:pPr>
    </w:p>
    <w:p>
      <w:pPr>
        <w:jc w:val="both"/>
        <w:ind w:firstLine="656"/>
        <w:spacing w:after="0" w:line="291" w:lineRule="auto"/>
        <w:tabs>
          <w:tab w:leader="none" w:pos="99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The Participant or his or her legal representatives, legatees or distributees shall not be deemed to be the holder of any Shares subject to the Award and shall not have any dividend rights (except as otherwise provided in Section 5 of Schedule A), voting rights or other rights as a stockholder unless and until (and then only to the extent that) the Award has been earned and vested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83" w:name="page184"/>
    <w:bookmarkEnd w:id="183"/>
    <w:p>
      <w:pPr>
        <w:spacing w:after="0" w:line="260" w:lineRule="auto"/>
        <w:rPr>
          <w:sz w:val="20"/>
          <w:szCs w:val="20"/>
          <w:color w:val="auto"/>
        </w:rPr>
      </w:pPr>
      <w:r>
        <w:rPr>
          <w:rFonts w:ascii="Arial" w:cs="Arial" w:eastAsia="Arial" w:hAnsi="Arial"/>
          <w:sz w:val="20"/>
          <w:szCs w:val="20"/>
          <w:color w:val="auto"/>
        </w:rPr>
        <w:t>certificates for such Shares have been issued and delivered to him, her or them (or, in the case of uncertificated shares, other written evidence of ownership in accordance with Applicable Law shall have been provided).</w:t>
      </w:r>
    </w:p>
    <w:p>
      <w:pPr>
        <w:spacing w:after="0" w:line="177" w:lineRule="exact"/>
        <w:rPr>
          <w:sz w:val="20"/>
          <w:szCs w:val="20"/>
          <w:color w:val="auto"/>
        </w:rPr>
      </w:pPr>
    </w:p>
    <w:p>
      <w:pPr>
        <w:jc w:val="both"/>
        <w:ind w:firstLine="656"/>
        <w:spacing w:after="0" w:line="254" w:lineRule="auto"/>
        <w:tabs>
          <w:tab w:leader="none" w:pos="97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Vesting of Award</w:t>
      </w:r>
      <w:r>
        <w:rPr>
          <w:rFonts w:ascii="Arial" w:cs="Arial" w:eastAsia="Arial" w:hAnsi="Arial"/>
          <w:sz w:val="19"/>
          <w:szCs w:val="19"/>
          <w:color w:val="auto"/>
        </w:rPr>
        <w:t xml:space="preserve">. Subject to the terms of the Plan and this Agreement, the Shares subject to the Award shall be deemed vested, and such Shares shall be distributable as provided in Section 8 herein, upon such date or dates, and subject to such conditions, as are described in this Agreement, including Section 3 of Schedule A. Without limiting the effect of the foregoing, the Shares subject to the Award may vest in installments over a period of time, if so provided in Schedule A. </w:t>
      </w:r>
      <w:r>
        <w:rPr>
          <w:rFonts w:ascii="Arial" w:cs="Arial" w:eastAsia="Arial" w:hAnsi="Arial"/>
          <w:sz w:val="19"/>
          <w:szCs w:val="19"/>
          <w:u w:val="single" w:color="auto"/>
          <w:color w:val="auto"/>
        </w:rPr>
        <w:t>The Participant expressly acknowledges that the Award shall vest only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such terms and conditions as are provided in this Agreement (including Schedule A and Schedule B) and otherwise in accordance with the terms of the Plan</w:t>
      </w:r>
      <w:r>
        <w:rPr>
          <w:rFonts w:ascii="Arial" w:cs="Arial" w:eastAsia="Arial" w:hAnsi="Arial"/>
          <w:sz w:val="19"/>
          <w:szCs w:val="19"/>
          <w:color w:val="auto"/>
        </w:rPr>
        <w:t>. Notwithstanding the foregoing, the Participant shall be entitled to the greater of the benefits provided in this Agreement and any Change in Control Agreement, Employment Agreement or any other similar agreement between the Participant and the Company with respect to the terms governing the earning and vesting of the Award. Without limiting the effect of the foregoing, the Participant understands and agrees that the Administrator may delay the vesting of the Award (or portion thereof) and the issuance of the underlying Shares in order to comply with Applicable Law or applicable policies of the Company implemented to ensure compliance with such laws (including but not limited to insider trading provisions and the Company’s insider trading policy); provided, however, that any such delay in vesting of the Award or issuance of Shares shall not apply to any Shares subject to an effective Rule 10b5-1 trading plan. The Administrator has sole authority to determine whether and to what degree the Award has been earned and vested and to interpret the terms and conditions of this Agreement and the Plan.</w:t>
      </w:r>
    </w:p>
    <w:p>
      <w:pPr>
        <w:spacing w:after="0" w:line="193" w:lineRule="exact"/>
        <w:rPr>
          <w:rFonts w:ascii="Arial" w:cs="Arial" w:eastAsia="Arial" w:hAnsi="Arial"/>
          <w:sz w:val="19"/>
          <w:szCs w:val="19"/>
          <w:color w:val="auto"/>
        </w:rPr>
      </w:pPr>
    </w:p>
    <w:p>
      <w:pPr>
        <w:jc w:val="both"/>
        <w:ind w:firstLine="656"/>
        <w:spacing w:after="0" w:line="271" w:lineRule="auto"/>
        <w:tabs>
          <w:tab w:leader="none" w:pos="103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Forfeiture of Award</w:t>
      </w:r>
      <w:r>
        <w:rPr>
          <w:rFonts w:ascii="Arial" w:cs="Arial" w:eastAsia="Arial" w:hAnsi="Arial"/>
          <w:sz w:val="18"/>
          <w:szCs w:val="18"/>
          <w:color w:val="auto"/>
        </w:rPr>
        <w:t>. Except as may be otherwise provided in the Plan or this Agreement (including but not limited to Schedule A), in the event that the employment or service of the Participant is terminated for any reason (whether by the Company or an Affiliate or by the Participant, whether voluntary or involuntary, and regardless of the reason for such termination and whether or not found to be invalid or in breach of employment laws in the jurisdiction where the Participant is rendering services or the terms of his or her employment or service agreement, if any) and all or part of the Award has not been earned and vested as of the Participant’s Termination Date pursuant to the terms of this Agreement, then the Award, to the extent not earned and vested as of the Participant’s Termination Date, shall be forfeited immediately upon such termination, and the Participant shall have no further rights with respect to the Award or the Shares underlying that portion of the Award that has not yet been earned and vested. The Participant expressly acknowledges and agrees that the termination of his or her employment or service shall (except as may otherwise be provided in this Agreement or the Plan) result in forfeiture of the Award and the Shares to the extent the Award has not been earned and vested as of his or her Termination Date.</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For purposes of the Award (and except as otherwise required under Code Section 409A), the Termination Date occurs on the date the Participant is no longer actively providing services to the Company or any Affiliate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the Participant’s period of service would not include any contractual notice period or any period of “garden leave” or similar period mandated under employment laws in the jurisdiction where the Participant is employed or providing services, or the terms of his or her employment or service agreement, if any); and the Administrator shall have the exclusive discretion to determine when the Participant is no longer actively providing services for purposes of the Award (including whether the Participant may still be considered to be providing services while on a leave of absence).</w:t>
      </w:r>
    </w:p>
    <w:p>
      <w:pPr>
        <w:spacing w:after="0" w:line="234" w:lineRule="exact"/>
        <w:rPr>
          <w:sz w:val="20"/>
          <w:szCs w:val="20"/>
          <w:color w:val="auto"/>
        </w:rPr>
      </w:pPr>
    </w:p>
    <w:p>
      <w:pPr>
        <w:ind w:right="20" w:firstLine="656"/>
        <w:spacing w:after="0" w:line="260" w:lineRule="auto"/>
        <w:tabs>
          <w:tab w:leader="none" w:pos="1004"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Settlement of Award</w:t>
      </w:r>
      <w:r>
        <w:rPr>
          <w:rFonts w:ascii="Arial" w:cs="Arial" w:eastAsia="Arial" w:hAnsi="Arial"/>
          <w:sz w:val="20"/>
          <w:szCs w:val="20"/>
          <w:color w:val="auto"/>
        </w:rPr>
        <w:t>. The Award, if earned and vested in accordance with the terms of this Agreement, shall be payable in whole Shares. The total number of Shares that may be acquired upon vesting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84" w:name="page185"/>
    <w:bookmarkEnd w:id="184"/>
    <w:p>
      <w:pPr>
        <w:jc w:val="both"/>
        <w:spacing w:after="0" w:line="242" w:lineRule="auto"/>
        <w:rPr>
          <w:sz w:val="20"/>
          <w:szCs w:val="20"/>
          <w:color w:val="auto"/>
        </w:rPr>
      </w:pPr>
      <w:r>
        <w:rPr>
          <w:rFonts w:ascii="Arial" w:cs="Arial" w:eastAsia="Arial" w:hAnsi="Arial"/>
          <w:sz w:val="20"/>
          <w:szCs w:val="20"/>
          <w:color w:val="auto"/>
        </w:rPr>
        <w:t>of the Award (or portion thereof) shall be rounded down to the nearest whole Share. A certificate or certificates representing the Shares subject to the Award (or portion thereof) shall be issued in the name of the Participant or his or her beneficiary (or, in the case of uncertificated shares, other written evidence of ownership in accordance with Applicable Law shall be provided) as soon as practicable after, and only to the extent that, the Award (or portion thereof) has vested and Shares are distributable. Shares or any other benefit subject to the Award shall, upon vesting of the Award (and except as otherwise provided in Sections 3(b)(iv) and 3(b)(v) of Schedule A), be issued and distributed to the Participant (or his or her beneficiary) no later than the later of (a) the fifteenth (15th) day of the third month following the Participant’s first taxable year in which the amount is no longer subject to a substantial risk of forfeiture, or (b) the fifteenth (15th) day of the third month following the end of the Company’s first taxable year in which the amount is no longer subject to a substantial risk of forfeiture, or otherwise in accordance with Code Section 409A.</w:t>
      </w:r>
    </w:p>
    <w:p>
      <w:pPr>
        <w:spacing w:after="0" w:line="195" w:lineRule="exact"/>
        <w:rPr>
          <w:sz w:val="20"/>
          <w:szCs w:val="20"/>
          <w:color w:val="auto"/>
        </w:rPr>
      </w:pPr>
    </w:p>
    <w:p>
      <w:pPr>
        <w:jc w:val="both"/>
        <w:ind w:firstLine="656"/>
        <w:spacing w:after="0" w:line="243" w:lineRule="auto"/>
        <w:tabs>
          <w:tab w:leader="none" w:pos="99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No Right of Continued Employment or Service</w:t>
      </w:r>
      <w:r>
        <w:rPr>
          <w:rFonts w:ascii="Arial" w:cs="Arial" w:eastAsia="Arial" w:hAnsi="Arial"/>
          <w:sz w:val="20"/>
          <w:szCs w:val="20"/>
          <w:color w:val="auto"/>
        </w:rPr>
        <w:t>. Nothing contained in this Agreement or the Plan shall confer upon the Participant any right to continue in the employment or service of the Company or an Affiliate or to interfere in any way with the right of the Company or an Affiliate to terminate the Participant’s employment or service at any time. Except as otherwise expressly provided in the Plan and this Agreement (including but not limited to Schedule A), all rights of the Participant under the Plan with respect to the unearned or unvested portion of his or her Award shall terminate upon the Termination Date. The grant of any Award, if earned, does not create any obligation to grant further awards.</w:t>
      </w:r>
    </w:p>
    <w:p>
      <w:pPr>
        <w:spacing w:after="0" w:line="196" w:lineRule="exact"/>
        <w:rPr>
          <w:rFonts w:ascii="Arial" w:cs="Arial" w:eastAsia="Arial" w:hAnsi="Arial"/>
          <w:sz w:val="20"/>
          <w:szCs w:val="20"/>
          <w:color w:val="auto"/>
        </w:rPr>
      </w:pPr>
    </w:p>
    <w:p>
      <w:pPr>
        <w:jc w:val="both"/>
        <w:ind w:firstLine="656"/>
        <w:spacing w:after="0" w:line="263" w:lineRule="auto"/>
        <w:tabs>
          <w:tab w:leader="none" w:pos="126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Nontransferability of Award and Shares</w:t>
      </w:r>
      <w:r>
        <w:rPr>
          <w:rFonts w:ascii="Arial" w:cs="Arial" w:eastAsia="Arial" w:hAnsi="Arial"/>
          <w:sz w:val="19"/>
          <w:szCs w:val="19"/>
          <w:color w:val="auto"/>
        </w:rPr>
        <w:t>. The Award shall not be transferable (including by sale, assignment, pledge or hypothecation) other than by will or the laws of descent and distribution. The designation of a beneficiary in accordance with the Plan (to the extent permitted by the Administrator) does not constitute a transfer. The Participant shall not sell, transfer, assign, pledge or otherwise encumber the Shares subject to the Award until such Shares have been issued and delivered to the Participant.</w:t>
      </w:r>
    </w:p>
    <w:p>
      <w:pPr>
        <w:spacing w:after="0" w:line="185" w:lineRule="exact"/>
        <w:rPr>
          <w:rFonts w:ascii="Arial" w:cs="Arial" w:eastAsia="Arial" w:hAnsi="Arial"/>
          <w:sz w:val="19"/>
          <w:szCs w:val="19"/>
          <w:color w:val="auto"/>
        </w:rPr>
      </w:pPr>
    </w:p>
    <w:p>
      <w:pPr>
        <w:ind w:left="1080" w:hanging="424"/>
        <w:spacing w:after="0"/>
        <w:tabs>
          <w:tab w:leader="none" w:pos="108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Withholding; Tax Consequences</w:t>
      </w:r>
      <w:r>
        <w:rPr>
          <w:rFonts w:ascii="Arial" w:cs="Arial" w:eastAsia="Arial" w:hAnsi="Arial"/>
          <w:sz w:val="21"/>
          <w:szCs w:val="21"/>
          <w:color w:val="auto"/>
        </w:rPr>
        <w:t>.</w:t>
      </w:r>
    </w:p>
    <w:p>
      <w:pPr>
        <w:spacing w:after="0" w:line="235" w:lineRule="exact"/>
        <w:rPr>
          <w:rFonts w:ascii="Arial" w:cs="Arial" w:eastAsia="Arial" w:hAnsi="Arial"/>
          <w:sz w:val="20"/>
          <w:szCs w:val="20"/>
          <w:color w:val="auto"/>
        </w:rPr>
      </w:pPr>
    </w:p>
    <w:p>
      <w:pPr>
        <w:jc w:val="both"/>
        <w:ind w:left="660" w:firstLine="645"/>
        <w:spacing w:after="0" w:line="243" w:lineRule="auto"/>
        <w:tabs>
          <w:tab w:leader="none" w:pos="1708"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The Participant acknowledges that, regardless of any action taken by the Company or, if different, his or her employer (the “Employer”), the ultimate liability for all income tax, social insurance, payroll tax, fringe benefits tax, payment on account or other tax-related items related to the Participant’s participation in the Plan and legally applicable to the Participant (“Tax-Related Items”) is and remains the Participant’s responsibility and may exceed the amount actually withheld by the Company or the Employer.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93" w:lineRule="exact"/>
        <w:rPr>
          <w:rFonts w:ascii="Arial" w:cs="Arial" w:eastAsia="Arial" w:hAnsi="Arial"/>
          <w:sz w:val="20"/>
          <w:szCs w:val="20"/>
          <w:color w:val="auto"/>
        </w:rPr>
      </w:pPr>
    </w:p>
    <w:p>
      <w:pPr>
        <w:jc w:val="both"/>
        <w:ind w:left="660" w:firstLine="645"/>
        <w:spacing w:after="0" w:line="256" w:lineRule="auto"/>
        <w:tabs>
          <w:tab w:leader="none" w:pos="1935" w:val="left"/>
        </w:tabs>
        <w:numPr>
          <w:ilvl w:val="1"/>
          <w:numId w:val="129"/>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Participant agrees to make adequate arrangements satisfactory to the Company and/or the Employer to satisfy all Tax-Related Items. In this regard, the Participant authorizes the Company or its respective agents to satisfy their withholding obligations with regard to all Tax-Related Items by withholding Shares to be issued upon settlement of the Award. The Company may withhold or account for Tax-Related Items by considering minimum statutory withholding rates or other applicable withholding rates. For tax purposes, the Participant is deemed to have been issued the full number of Shares subject to the vested portion of the Award, notwithstanding that a number of the Shares are held back solely for the purpose of paying the Tax-Related Items. In the event that the Company determines that withholding Shares is problematic under applicable local laws or has materially adverse accounting consequences, by his or her acceptance of the Award, the Participant authorizes the Company 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85" w:name="page186"/>
    <w:bookmarkEnd w:id="185"/>
    <w:p>
      <w:pPr>
        <w:jc w:val="both"/>
        <w:ind w:left="660"/>
        <w:spacing w:after="0" w:line="273" w:lineRule="auto"/>
        <w:rPr>
          <w:sz w:val="20"/>
          <w:szCs w:val="20"/>
          <w:color w:val="auto"/>
        </w:rPr>
      </w:pPr>
      <w:r>
        <w:rPr>
          <w:rFonts w:ascii="Arial" w:cs="Arial" w:eastAsia="Arial" w:hAnsi="Arial"/>
          <w:sz w:val="18"/>
          <w:szCs w:val="18"/>
          <w:color w:val="auto"/>
        </w:rPr>
        <w:t>any brokerage firm determined acceptable to the Company to sell, on his or her behalf, a whole number of Shares from those Shares issuable to the Participant as the Company determines to be appropriate to generate cash proceeds sufficient to satisfy the obligation for Tax-Related Items. If withholding is performed from proceeds from the sale of Shares, the Company may withhold for Tax-Related Items by considering maximum applicable rates, in which case the Participant may receive a refund of any over-withheld amount in cash and will have no entitlement to the Shares equivalent. Alternatively, the Company or the Employer may (subject to any Code Section 409A considerations) satisfy their withholding obligations for Tax-Related Items by withholding from the Participant’s wages or other cash compensation. The Company may refuse to issue or deliver the Shares or the proceeds of the sale of Shares if the Participant fails to comply with his or her obligations in connection with the Tax-Related Items.</w:t>
      </w:r>
    </w:p>
    <w:p>
      <w:pPr>
        <w:spacing w:after="0" w:line="169" w:lineRule="exact"/>
        <w:rPr>
          <w:sz w:val="20"/>
          <w:szCs w:val="20"/>
          <w:color w:val="auto"/>
        </w:rPr>
      </w:pPr>
    </w:p>
    <w:p>
      <w:pPr>
        <w:jc w:val="both"/>
        <w:ind w:left="660" w:firstLine="645"/>
        <w:spacing w:after="0" w:line="273" w:lineRule="auto"/>
        <w:tabs>
          <w:tab w:leader="none" w:pos="174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Participant acknowledges that the Company and/or the Employer have made no warranties or representations to the Participant with respect to the Tax-Related Items (including but not limited to income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grant or vesting of the Award and/or the acquisition or disposition of the Shares subject to the Award and the receipt of any dividends,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169" w:lineRule="exact"/>
        <w:rPr>
          <w:rFonts w:ascii="Arial" w:cs="Arial" w:eastAsia="Arial" w:hAnsi="Arial"/>
          <w:sz w:val="18"/>
          <w:szCs w:val="18"/>
          <w:color w:val="auto"/>
        </w:rPr>
      </w:pPr>
    </w:p>
    <w:p>
      <w:pPr>
        <w:ind w:left="1160" w:hanging="504"/>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contingent right to receive the Award, the Participant acknowledges, understands and agrees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227" w:lineRule="exact"/>
        <w:rPr>
          <w:sz w:val="20"/>
          <w:szCs w:val="20"/>
          <w:color w:val="auto"/>
        </w:rPr>
      </w:pPr>
    </w:p>
    <w:p>
      <w:pPr>
        <w:ind w:left="660" w:firstLine="645"/>
        <w:spacing w:after="0" w:line="265" w:lineRule="auto"/>
        <w:tabs>
          <w:tab w:leader="none" w:pos="1850" w:val="left"/>
        </w:tabs>
        <w:numPr>
          <w:ilvl w:val="0"/>
          <w:numId w:val="132"/>
        </w:numPr>
        <w:rPr>
          <w:rFonts w:ascii="Arial" w:cs="Arial" w:eastAsia="Arial" w:hAnsi="Arial"/>
          <w:sz w:val="22"/>
          <w:szCs w:val="22"/>
          <w:color w:val="auto"/>
        </w:rPr>
      </w:pPr>
      <w:r>
        <w:rPr>
          <w:rFonts w:ascii="Arial" w:cs="Arial" w:eastAsia="Arial" w:hAnsi="Arial"/>
          <w:sz w:val="20"/>
          <w:szCs w:val="20"/>
          <w:color w:val="auto"/>
        </w:rPr>
        <w:t>the Plan is established voluntarily by the Company, is discretionary in nature, and may be amended, suspended or terminated by the Company at any time, to the extent permitted by the Plan;</w:t>
      </w:r>
    </w:p>
    <w:p>
      <w:pPr>
        <w:spacing w:after="0" w:line="209" w:lineRule="exact"/>
        <w:rPr>
          <w:rFonts w:ascii="Arial" w:cs="Arial" w:eastAsia="Arial" w:hAnsi="Arial"/>
          <w:sz w:val="22"/>
          <w:szCs w:val="22"/>
          <w:color w:val="auto"/>
        </w:rPr>
      </w:pPr>
    </w:p>
    <w:p>
      <w:pPr>
        <w:ind w:left="1820" w:hanging="515"/>
        <w:spacing w:after="0"/>
        <w:tabs>
          <w:tab w:leader="none" w:pos="1820" w:val="left"/>
        </w:tabs>
        <w:numPr>
          <w:ilvl w:val="0"/>
          <w:numId w:val="132"/>
        </w:numPr>
        <w:rPr>
          <w:rFonts w:ascii="Arial" w:cs="Arial" w:eastAsia="Arial" w:hAnsi="Arial"/>
          <w:sz w:val="19"/>
          <w:szCs w:val="19"/>
          <w:color w:val="auto"/>
        </w:rPr>
      </w:pPr>
      <w:r>
        <w:rPr>
          <w:rFonts w:ascii="Arial" w:cs="Arial" w:eastAsia="Arial" w:hAnsi="Arial"/>
          <w:sz w:val="18"/>
          <w:szCs w:val="18"/>
          <w:color w:val="auto"/>
        </w:rPr>
        <w:t>all decisions with respect to future equity-based awards to the Participant, if any, will be at the sole discretion of the</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253" w:lineRule="exact"/>
        <w:rPr>
          <w:rFonts w:ascii="Arial" w:cs="Arial" w:eastAsia="Arial" w:hAnsi="Arial"/>
          <w:sz w:val="19"/>
          <w:szCs w:val="19"/>
          <w:color w:val="auto"/>
        </w:rPr>
      </w:pPr>
    </w:p>
    <w:p>
      <w:pPr>
        <w:ind w:left="1720" w:hanging="415"/>
        <w:spacing w:after="0"/>
        <w:tabs>
          <w:tab w:leader="none" w:pos="1720" w:val="left"/>
        </w:tabs>
        <w:numPr>
          <w:ilvl w:val="0"/>
          <w:numId w:val="132"/>
        </w:numPr>
        <w:rPr>
          <w:rFonts w:ascii="Arial" w:cs="Arial" w:eastAsia="Arial" w:hAnsi="Arial"/>
          <w:sz w:val="22"/>
          <w:szCs w:val="22"/>
          <w:color w:val="auto"/>
        </w:rPr>
      </w:pPr>
      <w:r>
        <w:rPr>
          <w:rFonts w:ascii="Arial" w:cs="Arial" w:eastAsia="Arial" w:hAnsi="Arial"/>
          <w:sz w:val="20"/>
          <w:szCs w:val="20"/>
          <w:color w:val="auto"/>
        </w:rPr>
        <w:t>the Participant’s participation in the Plan is voluntary;</w:t>
      </w:r>
    </w:p>
    <w:p>
      <w:pPr>
        <w:spacing w:after="0" w:line="235" w:lineRule="exact"/>
        <w:rPr>
          <w:rFonts w:ascii="Arial" w:cs="Arial" w:eastAsia="Arial" w:hAnsi="Arial"/>
          <w:sz w:val="22"/>
          <w:szCs w:val="22"/>
          <w:color w:val="auto"/>
        </w:rPr>
      </w:pPr>
    </w:p>
    <w:p>
      <w:pPr>
        <w:ind w:left="660" w:firstLine="645"/>
        <w:spacing w:after="0" w:line="265" w:lineRule="auto"/>
        <w:tabs>
          <w:tab w:leader="none" w:pos="1754" w:val="left"/>
        </w:tabs>
        <w:numPr>
          <w:ilvl w:val="0"/>
          <w:numId w:val="132"/>
        </w:numPr>
        <w:rPr>
          <w:rFonts w:ascii="Arial" w:cs="Arial" w:eastAsia="Arial" w:hAnsi="Arial"/>
          <w:sz w:val="22"/>
          <w:szCs w:val="22"/>
          <w:color w:val="auto"/>
        </w:rPr>
      </w:pPr>
      <w:r>
        <w:rPr>
          <w:rFonts w:ascii="Arial" w:cs="Arial" w:eastAsia="Arial" w:hAnsi="Arial"/>
          <w:sz w:val="20"/>
          <w:szCs w:val="20"/>
          <w:color w:val="auto"/>
        </w:rPr>
        <w:t>the Award and any Shares acquired under the Plan, and the value of and income attributable to the same, are not intended to replace any pension rights or compensation;</w:t>
      </w:r>
    </w:p>
    <w:p>
      <w:pPr>
        <w:spacing w:after="0" w:line="209" w:lineRule="exact"/>
        <w:rPr>
          <w:rFonts w:ascii="Arial" w:cs="Arial" w:eastAsia="Arial" w:hAnsi="Arial"/>
          <w:sz w:val="22"/>
          <w:szCs w:val="22"/>
          <w:color w:val="auto"/>
        </w:rPr>
      </w:pPr>
    </w:p>
    <w:p>
      <w:pPr>
        <w:jc w:val="both"/>
        <w:ind w:left="660" w:firstLine="645"/>
        <w:spacing w:after="0" w:line="265" w:lineRule="auto"/>
        <w:tabs>
          <w:tab w:leader="none" w:pos="1809" w:val="left"/>
        </w:tabs>
        <w:numPr>
          <w:ilvl w:val="0"/>
          <w:numId w:val="132"/>
        </w:numPr>
        <w:rPr>
          <w:rFonts w:ascii="Arial" w:cs="Arial" w:eastAsia="Arial" w:hAnsi="Arial"/>
          <w:sz w:val="22"/>
          <w:szCs w:val="22"/>
          <w:color w:val="auto"/>
        </w:rPr>
      </w:pPr>
      <w:r>
        <w:rPr>
          <w:rFonts w:ascii="Arial" w:cs="Arial" w:eastAsia="Arial" w:hAnsi="Arial"/>
          <w:sz w:val="20"/>
          <w:szCs w:val="20"/>
          <w:color w:val="auto"/>
        </w:rPr>
        <w:t>unless otherwise agreed with the Company, the Award and any Shares acquired under the Plan, and the value of and income attributable to the same, will not be granted as consideration for, or in connection with, any service the Participant may provide as a director of any Affiliate;</w:t>
      </w:r>
    </w:p>
    <w:p>
      <w:pPr>
        <w:spacing w:after="0" w:line="212" w:lineRule="exact"/>
        <w:rPr>
          <w:rFonts w:ascii="Arial" w:cs="Arial" w:eastAsia="Arial" w:hAnsi="Arial"/>
          <w:sz w:val="22"/>
          <w:szCs w:val="22"/>
          <w:color w:val="auto"/>
        </w:rPr>
      </w:pPr>
    </w:p>
    <w:p>
      <w:pPr>
        <w:jc w:val="both"/>
        <w:ind w:left="660" w:firstLine="645"/>
        <w:spacing w:after="0" w:line="313" w:lineRule="auto"/>
        <w:tabs>
          <w:tab w:leader="none" w:pos="1745" w:val="left"/>
        </w:tabs>
        <w:numPr>
          <w:ilvl w:val="0"/>
          <w:numId w:val="132"/>
        </w:numPr>
        <w:rPr>
          <w:rFonts w:ascii="Arial" w:cs="Arial" w:eastAsia="Arial" w:hAnsi="Arial"/>
          <w:sz w:val="19"/>
          <w:szCs w:val="19"/>
          <w:color w:val="auto"/>
        </w:rPr>
      </w:pPr>
      <w:r>
        <w:rPr>
          <w:rFonts w:ascii="Arial" w:cs="Arial" w:eastAsia="Arial" w:hAnsi="Arial"/>
          <w:sz w:val="18"/>
          <w:szCs w:val="18"/>
          <w:color w:val="auto"/>
        </w:rPr>
        <w:t>the Award and any Shares acquired under the Plan, and the value of and income attributable to the same, are not part of normal or expected compensation or salary for purposes of calculating any severance, resignation, termination, redundancy, end of service payments, bonuses, long-service awards, pension or retirement or welfare benefits or similar payments;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86" w:name="page187"/>
    <w:bookmarkEnd w:id="186"/>
    <w:p>
      <w:pPr>
        <w:ind w:left="1740" w:hanging="435"/>
        <w:spacing w:after="0"/>
        <w:tabs>
          <w:tab w:leader="none" w:pos="1740" w:val="left"/>
        </w:tabs>
        <w:numPr>
          <w:ilvl w:val="0"/>
          <w:numId w:val="133"/>
        </w:numPr>
        <w:rPr>
          <w:rFonts w:ascii="Arial" w:cs="Arial" w:eastAsia="Arial" w:hAnsi="Arial"/>
          <w:sz w:val="22"/>
          <w:szCs w:val="22"/>
          <w:color w:val="auto"/>
        </w:rPr>
      </w:pPr>
      <w:r>
        <w:rPr>
          <w:rFonts w:ascii="Arial" w:cs="Arial" w:eastAsia="Arial" w:hAnsi="Arial"/>
          <w:sz w:val="20"/>
          <w:szCs w:val="20"/>
          <w:color w:val="auto"/>
        </w:rPr>
        <w:t>the future value of the Shares underlying the Award is unknown and cannot be predicted;</w:t>
      </w:r>
    </w:p>
    <w:p>
      <w:pPr>
        <w:spacing w:after="0" w:line="235" w:lineRule="exact"/>
        <w:rPr>
          <w:rFonts w:ascii="Arial" w:cs="Arial" w:eastAsia="Arial" w:hAnsi="Arial"/>
          <w:sz w:val="22"/>
          <w:szCs w:val="22"/>
          <w:color w:val="auto"/>
        </w:rPr>
      </w:pPr>
    </w:p>
    <w:p>
      <w:pPr>
        <w:jc w:val="both"/>
        <w:ind w:left="660" w:firstLine="645"/>
        <w:spacing w:after="0" w:line="265" w:lineRule="auto"/>
        <w:tabs>
          <w:tab w:leader="none" w:pos="1862" w:val="left"/>
        </w:tabs>
        <w:numPr>
          <w:ilvl w:val="0"/>
          <w:numId w:val="133"/>
        </w:numPr>
        <w:rPr>
          <w:rFonts w:ascii="Arial" w:cs="Arial" w:eastAsia="Arial" w:hAnsi="Arial"/>
          <w:sz w:val="22"/>
          <w:szCs w:val="22"/>
          <w:color w:val="auto"/>
        </w:rPr>
      </w:pPr>
      <w:r>
        <w:rPr>
          <w:rFonts w:ascii="Arial" w:cs="Arial" w:eastAsia="Arial" w:hAnsi="Arial"/>
          <w:sz w:val="20"/>
          <w:szCs w:val="20"/>
          <w:color w:val="auto"/>
        </w:rPr>
        <w:t>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Common Stock;</w:t>
      </w:r>
    </w:p>
    <w:p>
      <w:pPr>
        <w:spacing w:after="0" w:line="212" w:lineRule="exact"/>
        <w:rPr>
          <w:rFonts w:ascii="Arial" w:cs="Arial" w:eastAsia="Arial" w:hAnsi="Arial"/>
          <w:sz w:val="22"/>
          <w:szCs w:val="22"/>
          <w:color w:val="auto"/>
        </w:rPr>
      </w:pPr>
    </w:p>
    <w:p>
      <w:pPr>
        <w:jc w:val="both"/>
        <w:ind w:left="660" w:firstLine="645"/>
        <w:spacing w:after="0" w:line="266" w:lineRule="auto"/>
        <w:tabs>
          <w:tab w:leader="none" w:pos="1868" w:val="left"/>
        </w:tabs>
        <w:numPr>
          <w:ilvl w:val="0"/>
          <w:numId w:val="133"/>
        </w:numPr>
        <w:rPr>
          <w:rFonts w:ascii="Arial" w:cs="Arial" w:eastAsia="Arial" w:hAnsi="Arial"/>
          <w:sz w:val="22"/>
          <w:szCs w:val="22"/>
          <w:color w:val="auto"/>
        </w:rPr>
      </w:pPr>
      <w:r>
        <w:rPr>
          <w:rFonts w:ascii="Arial" w:cs="Arial" w:eastAsia="Arial" w:hAnsi="Arial"/>
          <w:sz w:val="20"/>
          <w:szCs w:val="20"/>
          <w:color w:val="auto"/>
        </w:rPr>
        <w:t>no claim or entitlement to compensation or damages shall arise from forfeiture of the Award resulting from the Participant’s termination of employment or service (for any reason whatsoever whether or not later found to be invalid or in breach of employment laws in the jurisdiction where the Participant is employed or the terms of his or her employment or service agreement, if any); and</w:t>
      </w:r>
    </w:p>
    <w:p>
      <w:pPr>
        <w:spacing w:after="0" w:line="208" w:lineRule="exact"/>
        <w:rPr>
          <w:rFonts w:ascii="Arial" w:cs="Arial" w:eastAsia="Arial" w:hAnsi="Arial"/>
          <w:sz w:val="22"/>
          <w:szCs w:val="22"/>
          <w:color w:val="auto"/>
        </w:rPr>
      </w:pPr>
    </w:p>
    <w:p>
      <w:pPr>
        <w:ind w:left="1680" w:hanging="375"/>
        <w:spacing w:after="0"/>
        <w:tabs>
          <w:tab w:leader="none" w:pos="1680" w:val="left"/>
        </w:tabs>
        <w:numPr>
          <w:ilvl w:val="0"/>
          <w:numId w:val="133"/>
        </w:numPr>
        <w:rPr>
          <w:rFonts w:ascii="Arial" w:cs="Arial" w:eastAsia="Arial" w:hAnsi="Arial"/>
          <w:sz w:val="22"/>
          <w:szCs w:val="22"/>
          <w:color w:val="auto"/>
        </w:rPr>
      </w:pPr>
      <w:r>
        <w:rPr>
          <w:rFonts w:ascii="Arial" w:cs="Arial" w:eastAsia="Arial" w:hAnsi="Arial"/>
          <w:sz w:val="20"/>
          <w:szCs w:val="20"/>
          <w:color w:val="auto"/>
        </w:rPr>
        <w:t>if the Participant is employed or providing services outside of the U.S.:</w:t>
      </w:r>
    </w:p>
    <w:p>
      <w:pPr>
        <w:spacing w:after="0" w:line="208" w:lineRule="exact"/>
        <w:rPr>
          <w:rFonts w:ascii="Arial" w:cs="Arial" w:eastAsia="Arial" w:hAnsi="Arial"/>
          <w:sz w:val="22"/>
          <w:szCs w:val="22"/>
          <w:color w:val="auto"/>
        </w:rPr>
      </w:pPr>
    </w:p>
    <w:p>
      <w:pPr>
        <w:jc w:val="both"/>
        <w:ind w:firstLine="1953"/>
        <w:spacing w:after="0" w:line="250" w:lineRule="auto"/>
        <w:tabs>
          <w:tab w:leader="none" w:pos="2339"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part of normal or expected compensation or salary for any purpose, and in no event should be considered as compensation for, or relating in any way to, past services to the Employer, the Company or any other Affiliate; and</w:t>
      </w:r>
    </w:p>
    <w:p>
      <w:pPr>
        <w:spacing w:after="0" w:line="186" w:lineRule="exact"/>
        <w:rPr>
          <w:rFonts w:ascii="Arial" w:cs="Arial" w:eastAsia="Arial" w:hAnsi="Arial"/>
          <w:sz w:val="20"/>
          <w:szCs w:val="20"/>
          <w:color w:val="auto"/>
        </w:rPr>
      </w:pPr>
    </w:p>
    <w:p>
      <w:pPr>
        <w:jc w:val="both"/>
        <w:ind w:firstLine="1953"/>
        <w:spacing w:after="0" w:line="250" w:lineRule="auto"/>
        <w:tabs>
          <w:tab w:leader="none" w:pos="2542" w:val="left"/>
        </w:tabs>
        <w:numPr>
          <w:ilvl w:val="1"/>
          <w:numId w:val="133"/>
        </w:numPr>
        <w:rPr>
          <w:rFonts w:ascii="Arial" w:cs="Arial" w:eastAsia="Arial" w:hAnsi="Arial"/>
          <w:sz w:val="20"/>
          <w:szCs w:val="20"/>
          <w:color w:val="auto"/>
        </w:rPr>
      </w:pPr>
      <w:r>
        <w:rPr>
          <w:rFonts w:ascii="Arial" w:cs="Arial" w:eastAsia="Arial" w:hAnsi="Arial"/>
          <w:sz w:val="20"/>
          <w:szCs w:val="20"/>
          <w:color w:val="auto"/>
        </w:rPr>
        <w:t>neither the Company, the Employer nor any other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spacing w:after="0" w:line="186" w:lineRule="exact"/>
        <w:rPr>
          <w:sz w:val="20"/>
          <w:szCs w:val="20"/>
          <w:color w:val="auto"/>
        </w:rPr>
      </w:pPr>
    </w:p>
    <w:p>
      <w:pPr>
        <w:jc w:val="both"/>
        <w:ind w:firstLine="656"/>
        <w:spacing w:after="0" w:line="246" w:lineRule="auto"/>
        <w:tabs>
          <w:tab w:leader="none" w:pos="1116" w:val="left"/>
        </w:tabs>
        <w:numPr>
          <w:ilvl w:val="0"/>
          <w:numId w:val="13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Privacy</w:t>
      </w:r>
      <w:r>
        <w:rPr>
          <w:rFonts w:ascii="Arial" w:cs="Arial" w:eastAsia="Arial" w:hAnsi="Arial"/>
          <w:sz w:val="20"/>
          <w:szCs w:val="20"/>
          <w:b w:val="1"/>
          <w:bCs w:val="1"/>
          <w:i w:val="1"/>
          <w:iCs w:val="1"/>
          <w:color w:val="auto"/>
        </w:rPr>
        <w:t>. The Participant hereby explicitly and unambiguously consents to the collection, use and transfer, in electronic or other form, of his or her personal data as described in this Agreement and any other Award grant materials by and among, as applicable, the Employer, the Company and any other Affiliate for the exclusive purpose of implementing, administering and managing his or her participation in the Plan.</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the Employer may hold certain personal information about him or her, including, but not limited to, his or her name, home address and telephone number, date of birth, social insurance number or other identification number, salary, nationality, job title, any shares of Common Stock or directorships held in the Company or any Affiliate, details of all Restricted Stock Units or any other entitlement to Shares awarded, canceled, exercised, vested, unvested or outstanding in his or her favor (“Data”), for the exclusive purpose of implementing, administering and managing the Plan.</w:t>
      </w:r>
    </w:p>
    <w:p>
      <w:pPr>
        <w:spacing w:after="0" w:line="165" w:lineRule="exact"/>
        <w:rPr>
          <w:sz w:val="20"/>
          <w:szCs w:val="20"/>
          <w:color w:val="auto"/>
        </w:rPr>
      </w:pPr>
    </w:p>
    <w:p>
      <w:pPr>
        <w:jc w:val="both"/>
        <w:spacing w:after="0" w:line="313"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Fidelity Stock Plan Services, LLC (“Fidelity”) or to any other third party assisting in the implementation, administration and management of the Plan. The Participant understands that the recipients of Data may be located in the Participant’s country or elsewhere, and that the recipient’s country may have different data privacy laws and protections than his or her country. The Participant understands that, if he or she resides outside the U.S., the Participant may request a list with the names and addresses of any potential recipients of Data by contacting his or her local Human Resources representative. The Participant authorizes the Company, Fidelity and any other recipients of Data which may assist the Company (presently or in the future) with implementing, administering and managing the Plan to receive, possess, use, retain and transfer Data, in electronic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90" w:right="239" w:bottom="1440" w:gutter="0" w:footer="0" w:header="0"/>
        </w:sectPr>
      </w:pPr>
    </w:p>
    <w:bookmarkStart w:id="187" w:name="page188"/>
    <w:bookmarkEnd w:id="187"/>
    <w:p>
      <w:pPr>
        <w:jc w:val="both"/>
        <w:spacing w:after="0" w:line="307" w:lineRule="auto"/>
        <w:rPr>
          <w:sz w:val="20"/>
          <w:szCs w:val="20"/>
          <w:color w:val="auto"/>
        </w:rPr>
      </w:pPr>
      <w:r>
        <w:rPr>
          <w:rFonts w:ascii="Arial" w:cs="Arial" w:eastAsia="Arial" w:hAnsi="Arial"/>
          <w:sz w:val="16"/>
          <w:szCs w:val="16"/>
          <w:b w:val="1"/>
          <w:bCs w:val="1"/>
          <w:i w:val="1"/>
          <w:iCs w:val="1"/>
          <w:color w:val="auto"/>
        </w:rPr>
        <w:t>other form, for the purposes of implementing, administering and managing his or her participation in the Plan, including any requisite transfer of Data as may be required to a broker or other third party with whom the Participant may elect to deposit any Shares purchased upon vesting of the Award. The Participant understands that Data will be held only as long as is necessary to implement, administer and manage his or her participation in the Plan. The Participant understands that, if he or she resides outside the U.S., the Participant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the consent, his or her employment status or service and career with the Employer will not be affected solely by such actions of the Participant; the only consequence of refusing or withdrawing the consent is that the Company would not be able to grant Restricted Stock Units or other equity awards to the Participant or administer or maintain such awards. Therefore, the Participant understands that refusing or withdrawing the consent may affect his or her ability to participate in the Plan. For more information on the consequences of his or her refusal to consent or withdrawal of consent, the Participant understands that he or she may contact the local Human Resources representative.</w:t>
      </w:r>
    </w:p>
    <w:p>
      <w:pPr>
        <w:spacing w:after="0" w:line="377" w:lineRule="exact"/>
        <w:rPr>
          <w:sz w:val="20"/>
          <w:szCs w:val="20"/>
          <w:color w:val="auto"/>
        </w:rPr>
      </w:pPr>
    </w:p>
    <w:p>
      <w:pPr>
        <w:jc w:val="both"/>
        <w:ind w:firstLine="656"/>
        <w:spacing w:after="0" w:line="282" w:lineRule="auto"/>
        <w:tabs>
          <w:tab w:leader="none" w:pos="1143"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61" w:lineRule="exact"/>
        <w:rPr>
          <w:rFonts w:ascii="Arial" w:cs="Arial" w:eastAsia="Arial" w:hAnsi="Arial"/>
          <w:sz w:val="18"/>
          <w:szCs w:val="18"/>
          <w:color w:val="auto"/>
        </w:rPr>
      </w:pPr>
    </w:p>
    <w:p>
      <w:pPr>
        <w:jc w:val="both"/>
        <w:ind w:firstLine="656"/>
        <w:spacing w:after="0" w:line="242" w:lineRule="auto"/>
        <w:tabs>
          <w:tab w:leader="none" w:pos="1130"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Superseding Agreement; Successors and Assigns</w:t>
      </w:r>
      <w:r>
        <w:rPr>
          <w:rFonts w:ascii="Arial" w:cs="Arial" w:eastAsia="Arial" w:hAnsi="Arial"/>
          <w:sz w:val="20"/>
          <w:szCs w:val="20"/>
          <w:color w:val="auto"/>
        </w:rPr>
        <w:t>. This Agreement supersedes any statements, representations or agreements of the Company with respect to the grant of the Award or any related rights, and the Participant hereby waives any rights or claims related to any such statements, representations or agreements. Except as may be otherwise provided in the Plan or expressly provided in this Agreement,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97" w:lineRule="exact"/>
        <w:rPr>
          <w:rFonts w:ascii="Arial" w:cs="Arial" w:eastAsia="Arial" w:hAnsi="Arial"/>
          <w:sz w:val="20"/>
          <w:szCs w:val="20"/>
          <w:color w:val="auto"/>
        </w:rPr>
      </w:pPr>
    </w:p>
    <w:p>
      <w:pPr>
        <w:jc w:val="both"/>
        <w:ind w:firstLine="656"/>
        <w:spacing w:after="0" w:line="276" w:lineRule="auto"/>
        <w:tabs>
          <w:tab w:leader="none" w:pos="111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spacing w:after="0" w:line="165" w:lineRule="exact"/>
        <w:rPr>
          <w:rFonts w:ascii="Arial" w:cs="Arial" w:eastAsia="Arial" w:hAnsi="Arial"/>
          <w:sz w:val="18"/>
          <w:szCs w:val="18"/>
          <w:color w:val="auto"/>
        </w:rPr>
      </w:pPr>
    </w:p>
    <w:p>
      <w:pPr>
        <w:jc w:val="both"/>
        <w:ind w:firstLine="656"/>
        <w:spacing w:after="0" w:line="342" w:lineRule="auto"/>
        <w:tabs>
          <w:tab w:leader="none" w:pos="117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Electronic Delivery and Participation</w:t>
      </w:r>
      <w:r>
        <w:rPr>
          <w:rFonts w:ascii="Arial" w:cs="Arial" w:eastAsia="Arial" w:hAnsi="Arial"/>
          <w:sz w:val="16"/>
          <w:szCs w:val="16"/>
          <w:color w:val="auto"/>
        </w:rPr>
        <w:t>. The Company may, in its sole discretion, decide to deliver to and obtain Participant’s acceptance of any documents related to the Award or future awards of Restricted Stock Units that may be granted under the Plan by electronic means or request the Participant’s consent to participate in the Plan by electronic means. The Participant hereby consents to receive and accept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88" w:name="page189"/>
    <w:bookmarkEnd w:id="188"/>
    <w:p>
      <w:pPr>
        <w:spacing w:after="0" w:line="260" w:lineRule="auto"/>
        <w:rPr>
          <w:sz w:val="20"/>
          <w:szCs w:val="20"/>
          <w:color w:val="auto"/>
        </w:rPr>
      </w:pPr>
      <w:r>
        <w:rPr>
          <w:rFonts w:ascii="Arial" w:cs="Arial" w:eastAsia="Arial" w:hAnsi="Arial"/>
          <w:sz w:val="20"/>
          <w:szCs w:val="20"/>
          <w:color w:val="auto"/>
        </w:rPr>
        <w:t>such documents by electronic delivery and, if requested, to agree to participate in the Plan through an on-line or electronic system established and maintained by the Company or a third party designated by the Company.</w:t>
      </w:r>
    </w:p>
    <w:p>
      <w:pPr>
        <w:spacing w:after="0" w:line="177" w:lineRule="exact"/>
        <w:rPr>
          <w:sz w:val="20"/>
          <w:szCs w:val="20"/>
          <w:color w:val="auto"/>
        </w:rPr>
      </w:pPr>
    </w:p>
    <w:p>
      <w:pPr>
        <w:jc w:val="both"/>
        <w:ind w:firstLine="656"/>
        <w:spacing w:after="0" w:line="250" w:lineRule="auto"/>
        <w:tabs>
          <w:tab w:leader="none" w:pos="1103"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Participant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20"/>
          <w:szCs w:val="20"/>
          <w:color w:val="auto"/>
        </w:rPr>
      </w:pPr>
    </w:p>
    <w:p>
      <w:pPr>
        <w:jc w:val="both"/>
        <w:ind w:firstLine="656"/>
        <w:spacing w:after="0" w:line="282" w:lineRule="auto"/>
        <w:tabs>
          <w:tab w:leader="none" w:pos="1089"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The Award shall be subject to any special terms and conditions for the Participant’s country set forth in the Appendix, if any. If the Participant relocates to one of the countries included in the Appendix during any Performance Period or the term of the Award, the special terms and conditions for such country shall apply to him or her to the extent the Company determines that the application of such provisions is necessary or advisable for legal or administrative reasons. The Appendix constitutes part of this Agreement.</w:t>
      </w:r>
    </w:p>
    <w:p>
      <w:pPr>
        <w:spacing w:after="0" w:line="161" w:lineRule="exact"/>
        <w:rPr>
          <w:rFonts w:ascii="Arial" w:cs="Arial" w:eastAsia="Arial" w:hAnsi="Arial"/>
          <w:sz w:val="18"/>
          <w:szCs w:val="18"/>
          <w:color w:val="auto"/>
        </w:rPr>
      </w:pPr>
    </w:p>
    <w:p>
      <w:pPr>
        <w:jc w:val="both"/>
        <w:ind w:firstLine="656"/>
        <w:spacing w:after="0" w:line="291" w:lineRule="auto"/>
        <w:tabs>
          <w:tab w:leader="none" w:pos="113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the Shares acquired upon vesting of the Award, to the extent the Company determines it is necessary or advisable for legal or administrative reasons, and to require the Participant to sign any additional agreements or undertakings that may be necessary to accomplish the foregoing.</w:t>
      </w:r>
    </w:p>
    <w:p>
      <w:pPr>
        <w:spacing w:after="0" w:line="151" w:lineRule="exact"/>
        <w:rPr>
          <w:rFonts w:ascii="Arial" w:cs="Arial" w:eastAsia="Arial" w:hAnsi="Arial"/>
          <w:sz w:val="18"/>
          <w:szCs w:val="18"/>
          <w:color w:val="auto"/>
        </w:rPr>
      </w:pPr>
    </w:p>
    <w:p>
      <w:pPr>
        <w:jc w:val="both"/>
        <w:ind w:firstLine="656"/>
        <w:spacing w:after="0" w:line="278" w:lineRule="auto"/>
        <w:tabs>
          <w:tab w:leader="none" w:pos="110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The waiver by the Company of a breach of any provision of this Agreement by the Participant shall not operate or be construed as a waiver of any subsequent breach by the Participant.</w:t>
      </w:r>
    </w:p>
    <w:p>
      <w:pPr>
        <w:spacing w:after="0" w:line="165" w:lineRule="exact"/>
        <w:rPr>
          <w:rFonts w:ascii="Arial" w:cs="Arial" w:eastAsia="Arial" w:hAnsi="Arial"/>
          <w:sz w:val="18"/>
          <w:szCs w:val="18"/>
          <w:color w:val="auto"/>
        </w:rPr>
      </w:pPr>
    </w:p>
    <w:p>
      <w:pPr>
        <w:jc w:val="both"/>
        <w:ind w:firstLine="656"/>
        <w:spacing w:after="0" w:line="243" w:lineRule="auto"/>
        <w:tabs>
          <w:tab w:leader="none" w:pos="1076"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196" w:lineRule="exact"/>
        <w:rPr>
          <w:rFonts w:ascii="Arial" w:cs="Arial" w:eastAsia="Arial" w:hAnsi="Arial"/>
          <w:sz w:val="20"/>
          <w:szCs w:val="20"/>
          <w:color w:val="auto"/>
        </w:rPr>
      </w:pPr>
    </w:p>
    <w:p>
      <w:pPr>
        <w:ind w:firstLine="656"/>
        <w:spacing w:after="0" w:line="260" w:lineRule="auto"/>
        <w:tabs>
          <w:tab w:leader="none" w:pos="1076"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76" w:lineRule="exact"/>
        <w:rPr>
          <w:rFonts w:ascii="Arial" w:cs="Arial" w:eastAsia="Arial" w:hAnsi="Arial"/>
          <w:sz w:val="20"/>
          <w:szCs w:val="20"/>
          <w:color w:val="auto"/>
        </w:rPr>
      </w:pPr>
    </w:p>
    <w:p>
      <w:pPr>
        <w:jc w:val="both"/>
        <w:ind w:firstLine="656"/>
        <w:spacing w:after="0" w:line="274" w:lineRule="auto"/>
        <w:tabs>
          <w:tab w:leader="none" w:pos="113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Restrictions on Award and Shares</w:t>
      </w:r>
      <w:r>
        <w:rPr>
          <w:rFonts w:ascii="Arial" w:cs="Arial" w:eastAsia="Arial" w:hAnsi="Arial"/>
          <w:sz w:val="18"/>
          <w:szCs w:val="18"/>
          <w:color w:val="auto"/>
        </w:rPr>
        <w:t>. The Company may impose such restrictions on the Award and any Shares or other benefits underlying the Award as it may deem advisable, including without limitation restrictions under the U.S. federal securities laws, the requirements of any stock exchange or similar organization and any blue sky, state or foreign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Applicable Law (including but not limited to the requirements of the Securities Act). The Company may cause a restrictive legend to be placed on any certificate for Shares issued pursuant to the Award in such form as may be prescribed from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89" w:name="page190"/>
    <w:bookmarkEnd w:id="189"/>
    <w:p>
      <w:pPr>
        <w:jc w:val="both"/>
        <w:spacing w:after="0" w:line="259" w:lineRule="auto"/>
        <w:rPr>
          <w:sz w:val="20"/>
          <w:szCs w:val="20"/>
          <w:color w:val="auto"/>
        </w:rPr>
      </w:pPr>
      <w:r>
        <w:rPr>
          <w:rFonts w:ascii="Arial" w:cs="Arial" w:eastAsia="Arial" w:hAnsi="Arial"/>
          <w:sz w:val="19"/>
          <w:szCs w:val="19"/>
          <w:color w:val="auto"/>
        </w:rPr>
        <w:t>time to time by Applicable Law or as may be advised by legal counsel. The Administrator may delay the right to receive or dispose of Shares (or other benefits) upon settlement of the Award at any time if the Administrator determines that allowing issuance of Shares (or distribution of other benefits) would violate any federal, state or foreign securities laws or applicable policies of the Company, and the Administrator may provide in its discretion that any time periods to receive Shares (or other benefits) subject to the Award are tolled or extended during a period of suspension or delay (subject to any Code Section 409A considerations); provided, however, that any such delay, suspension, tolling or extension shall not apply to any Shares subject to an effective Rule 10b5-1 trading plan.</w:t>
      </w:r>
    </w:p>
    <w:p>
      <w:pPr>
        <w:spacing w:after="0" w:line="179" w:lineRule="exact"/>
        <w:rPr>
          <w:sz w:val="20"/>
          <w:szCs w:val="20"/>
          <w:color w:val="auto"/>
        </w:rPr>
      </w:pPr>
    </w:p>
    <w:p>
      <w:pPr>
        <w:jc w:val="both"/>
        <w:ind w:firstLine="656"/>
        <w:spacing w:after="0" w:line="291" w:lineRule="auto"/>
        <w:tabs>
          <w:tab w:leader="none" w:pos="1089"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51" w:lineRule="exact"/>
        <w:rPr>
          <w:rFonts w:ascii="Arial" w:cs="Arial" w:eastAsia="Arial" w:hAnsi="Arial"/>
          <w:sz w:val="18"/>
          <w:szCs w:val="18"/>
          <w:color w:val="auto"/>
        </w:rPr>
      </w:pPr>
    </w:p>
    <w:p>
      <w:pPr>
        <w:jc w:val="both"/>
        <w:ind w:firstLine="656"/>
        <w:spacing w:after="0" w:line="244" w:lineRule="auto"/>
        <w:tabs>
          <w:tab w:leader="none" w:pos="1224"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the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194" w:lineRule="exact"/>
        <w:rPr>
          <w:rFonts w:ascii="Arial" w:cs="Arial" w:eastAsia="Arial" w:hAnsi="Arial"/>
          <w:sz w:val="20"/>
          <w:szCs w:val="20"/>
          <w:color w:val="auto"/>
        </w:rPr>
      </w:pPr>
    </w:p>
    <w:p>
      <w:pPr>
        <w:jc w:val="both"/>
        <w:ind w:firstLine="656"/>
        <w:spacing w:after="0" w:line="274" w:lineRule="auto"/>
        <w:tabs>
          <w:tab w:leader="none" w:pos="1157"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Requirements</w:t>
      </w:r>
      <w:r>
        <w:rPr>
          <w:rFonts w:ascii="Arial" w:cs="Arial" w:eastAsia="Arial" w:hAnsi="Arial"/>
          <w:sz w:val="18"/>
          <w:szCs w:val="18"/>
          <w:color w:val="auto"/>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190" w:name="page191"/>
    <w:bookmarkEnd w:id="190"/>
    <w:p>
      <w:pPr>
        <w:ind w:right="20"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Effective Date stated herein.</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b w:val="1"/>
          <w:bCs w:val="1"/>
          <w:color w:val="auto"/>
        </w:rPr>
        <w:t>____________________________________</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rPr>
          <w:sz w:val="20"/>
          <w:szCs w:val="20"/>
          <w:color w:val="auto"/>
        </w:rPr>
      </w:pPr>
      <w:r>
        <w:rPr>
          <w:rFonts w:ascii="Arial" w:cs="Arial" w:eastAsia="Arial" w:hAnsi="Arial"/>
          <w:sz w:val="20"/>
          <w:szCs w:val="20"/>
          <w:color w:val="auto"/>
        </w:rPr>
        <w:t>Attest: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Jeffrey C. Howland</w:t>
      </w:r>
    </w:p>
    <w:p>
      <w:pPr>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595"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[Modify schedule as appropriate.]</w:t>
      </w:r>
    </w:p>
    <w:p>
      <w:pPr>
        <w:spacing w:after="0" w:line="270" w:lineRule="exact"/>
        <w:rPr>
          <w:sz w:val="20"/>
          <w:szCs w:val="20"/>
          <w:color w:val="auto"/>
        </w:rPr>
      </w:pPr>
    </w:p>
    <w:p>
      <w:pPr>
        <w:ind w:left="1460" w:hanging="804"/>
        <w:spacing w:after="0"/>
        <w:tabs>
          <w:tab w:leader="none" w:pos="146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Award Opportunity.</w:t>
      </w:r>
    </w:p>
    <w:p>
      <w:pPr>
        <w:spacing w:after="0" w:line="121" w:lineRule="exact"/>
        <w:rPr>
          <w:rFonts w:ascii="Arial" w:cs="Arial" w:eastAsia="Arial" w:hAnsi="Arial"/>
          <w:sz w:val="20"/>
          <w:szCs w:val="20"/>
          <w:color w:val="auto"/>
        </w:rPr>
      </w:pPr>
    </w:p>
    <w:p>
      <w:pPr>
        <w:jc w:val="both"/>
        <w:ind w:left="660" w:firstLine="645"/>
        <w:spacing w:after="0" w:line="259" w:lineRule="auto"/>
        <w:tabs>
          <w:tab w:leader="none" w:pos="1708" w:val="left"/>
        </w:tabs>
        <w:numPr>
          <w:ilvl w:val="1"/>
          <w:numId w:val="138"/>
        </w:numPr>
        <w:rPr>
          <w:rFonts w:ascii="Arial" w:cs="Arial" w:eastAsia="Arial" w:hAnsi="Arial"/>
          <w:sz w:val="19"/>
          <w:szCs w:val="19"/>
          <w:color w:val="auto"/>
        </w:rPr>
      </w:pPr>
      <w:r>
        <w:rPr>
          <w:rFonts w:ascii="Arial" w:cs="Arial" w:eastAsia="Arial" w:hAnsi="Arial"/>
          <w:sz w:val="19"/>
          <w:szCs w:val="19"/>
          <w:color w:val="auto"/>
        </w:rPr>
        <w:t>Pursuant to the terms and conditions of the Company’s 2012 Stock Incentive Plan, as it may be amended (the “Plan”), and the Restricted Stock Unit Agreement (Performance-Based and Service-Based Award for Senior Officers) attached hereto, including any special terms and conditions for your country in the Appendix attached thereto (together, the “Agreement”), you (the “Participant”) are eligible to be granted an award of Restricted Stock Units (the “Award”) for the number of shares of Common Stock (the “Shares”) as may be determined pursuant to this Section 1. Unless otherwise defined herein, capitalized terms in this Schedule A shall have the same definitions as set forth in the Agreement and the Plan.</w:t>
      </w:r>
    </w:p>
    <w:p>
      <w:pPr>
        <w:spacing w:after="0" w:line="70" w:lineRule="exact"/>
        <w:rPr>
          <w:rFonts w:ascii="Arial" w:cs="Arial" w:eastAsia="Arial" w:hAnsi="Arial"/>
          <w:sz w:val="19"/>
          <w:szCs w:val="19"/>
          <w:color w:val="auto"/>
        </w:rPr>
      </w:pPr>
    </w:p>
    <w:p>
      <w:pPr>
        <w:jc w:val="both"/>
        <w:ind w:left="660" w:firstLine="645"/>
        <w:spacing w:after="0" w:line="271" w:lineRule="auto"/>
        <w:tabs>
          <w:tab w:leader="none" w:pos="178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No Award will be granted unless at least one of the Performance Objectives is met during the applicable Performance Period. Each of the Performance Objectives is expressed as a fixed or variable percentage of the Target number of Shares shown in Section 1(c) below (the “Target”). If a Performance Objective is met, the Participant shall be granted an Award for a number of Shares equal to the Target multiplied by the percentage assigned to such Performance Objective. One or more of the Performance Objectives may contain a variable percentage of the Target based on performance criteria applicable to such Performance Objective, and the Administrator has the sole discretion to determine if, and to what extent on a percentage basis, any such Performance Objectives are met. If all of the Performance Objectives are fully met, the Participant shall be granted an Award for the Maximum number of Shares (150% of Target) shown in Section 1(c) below. The Award shall not be granted for a particular Performance Objective until following the end of the Performance Period for that Performance Objective and then only if the terms and conditions described in the Agreement have been met. The actual number of Shares which may be subject to the Award shall be as provided in Section 1(c) below.</w:t>
      </w:r>
    </w:p>
    <w:p>
      <w:pPr>
        <w:spacing w:after="0" w:line="66" w:lineRule="exact"/>
        <w:rPr>
          <w:rFonts w:ascii="Arial" w:cs="Arial" w:eastAsia="Arial" w:hAnsi="Arial"/>
          <w:sz w:val="18"/>
          <w:szCs w:val="18"/>
          <w:color w:val="auto"/>
        </w:rPr>
      </w:pPr>
    </w:p>
    <w:p>
      <w:pPr>
        <w:ind w:left="1700" w:hanging="395"/>
        <w:spacing w:after="0"/>
        <w:tabs>
          <w:tab w:leader="none" w:pos="170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Number of Shares Potentially Subject to Award:</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Target Number of Shares (100% of Target): ______________.</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Maximum Number of Shares (150% of Target)</w:t>
      </w:r>
    </w:p>
    <w:p>
      <w:pPr>
        <w:spacing w:after="0" w:line="200" w:lineRule="exact"/>
        <w:rPr>
          <w:sz w:val="20"/>
          <w:szCs w:val="20"/>
          <w:color w:val="auto"/>
        </w:rPr>
      </w:pPr>
    </w:p>
    <w:p>
      <w:pPr>
        <w:jc w:val="both"/>
        <w:ind w:left="660" w:firstLine="645"/>
        <w:spacing w:after="0" w:line="250" w:lineRule="auto"/>
        <w:tabs>
          <w:tab w:leader="none" w:pos="1732"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The Performance Objectives must be met, if at all, during the applicable Performance Period, as described in Schedule B. The Administrator has sole discretion to determine if, and to what extent, any or all Performance Objectives are met and to interpret the other terms and conditions of the Agreement.</w:t>
      </w:r>
    </w:p>
    <w:p>
      <w:pPr>
        <w:spacing w:after="0" w:line="91" w:lineRule="exact"/>
        <w:rPr>
          <w:rFonts w:ascii="Arial" w:cs="Arial" w:eastAsia="Arial" w:hAnsi="Arial"/>
          <w:sz w:val="20"/>
          <w:szCs w:val="20"/>
          <w:color w:val="auto"/>
        </w:rPr>
      </w:pPr>
    </w:p>
    <w:p>
      <w:pPr>
        <w:jc w:val="both"/>
        <w:ind w:firstLine="656"/>
        <w:spacing w:after="0" w:line="278" w:lineRule="auto"/>
        <w:tabs>
          <w:tab w:leader="none" w:pos="1445"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 The Performance Objectives for the applicable Performance Period pursuant to the Agreement, and the applicable weighting of each Performance Objective expressed as a percentage of the Target, shall be as stated in Schedule B, attached hereto, the terms of which shall be incorporated in and constitute a part of the Agreement.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616" w:right="239" w:bottom="1440" w:gutter="0" w:footer="0" w:header="0"/>
        </w:sectPr>
      </w:pPr>
    </w:p>
    <w:bookmarkStart w:id="192" w:name="page193"/>
    <w:bookmarkEnd w:id="192"/>
    <w:p>
      <w:pPr>
        <w:ind w:left="804" w:hanging="804"/>
        <w:spacing w:after="0"/>
        <w:tabs>
          <w:tab w:leader="none" w:pos="804"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 If the Award is granted in accordance with this Agreement, the Award shall vest as follows:</w:t>
      </w:r>
    </w:p>
    <w:p>
      <w:pPr>
        <w:spacing w:after="0" w:line="146" w:lineRule="exact"/>
        <w:rPr>
          <w:sz w:val="20"/>
          <w:szCs w:val="20"/>
          <w:color w:val="auto"/>
        </w:rPr>
      </w:pPr>
    </w:p>
    <w:p>
      <w:pPr>
        <w:ind w:left="1064" w:hanging="415"/>
        <w:spacing w:after="0"/>
        <w:tabs>
          <w:tab w:leader="none" w:pos="1064" w:val="left"/>
        </w:tabs>
        <w:numPr>
          <w:ilvl w:val="0"/>
          <w:numId w:val="142"/>
        </w:numPr>
        <w:rPr>
          <w:rFonts w:ascii="Arial" w:cs="Arial" w:eastAsia="Arial" w:hAnsi="Arial"/>
          <w:sz w:val="22"/>
          <w:szCs w:val="22"/>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w:t>
      </w:r>
    </w:p>
    <w:p>
      <w:pPr>
        <w:spacing w:after="0" w:line="101" w:lineRule="exact"/>
        <w:rPr>
          <w:sz w:val="20"/>
          <w:szCs w:val="20"/>
          <w:color w:val="auto"/>
        </w:rPr>
      </w:pPr>
    </w:p>
    <w:p>
      <w:pPr>
        <w:ind w:left="4" w:right="20" w:firstLine="645"/>
        <w:spacing w:after="0" w:line="260" w:lineRule="auto"/>
        <w:tabs>
          <w:tab w:leader="none" w:pos="1038"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Award shall be deemed earned and vested with respect to fifty percent (50%) of the Target on the Award Date, subject to the continued employment of the Participant with the Company or an Affiliate through such vesting date;</w:t>
      </w:r>
    </w:p>
    <w:p>
      <w:pPr>
        <w:spacing w:after="0" w:line="68" w:lineRule="exact"/>
        <w:rPr>
          <w:rFonts w:ascii="Arial" w:cs="Arial" w:eastAsia="Arial" w:hAnsi="Arial"/>
          <w:sz w:val="20"/>
          <w:szCs w:val="20"/>
          <w:color w:val="auto"/>
        </w:rPr>
      </w:pPr>
    </w:p>
    <w:p>
      <w:pPr>
        <w:jc w:val="both"/>
        <w:ind w:left="4" w:firstLine="645"/>
        <w:spacing w:after="0" w:line="246" w:lineRule="auto"/>
        <w:tabs>
          <w:tab w:leader="none" w:pos="117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Award shall be deemed earned and vested with respect to an additional twenty-five percent (25%) (for a total of seventy-five percent (75%)) of the Target on the first anniversary of the earliest Award Date applicable to any Performance Objective covered by this Agreement, subject to the continued employment of the Participant with the Company or an Affiliate through such vesting date; and</w:t>
      </w:r>
    </w:p>
    <w:p>
      <w:pPr>
        <w:spacing w:after="0" w:line="83" w:lineRule="exact"/>
        <w:rPr>
          <w:rFonts w:ascii="Arial" w:cs="Arial" w:eastAsia="Arial" w:hAnsi="Arial"/>
          <w:sz w:val="20"/>
          <w:szCs w:val="20"/>
          <w:color w:val="auto"/>
        </w:rPr>
      </w:pPr>
    </w:p>
    <w:p>
      <w:pPr>
        <w:jc w:val="both"/>
        <w:ind w:left="4" w:firstLine="645"/>
        <w:spacing w:after="0" w:line="246" w:lineRule="auto"/>
        <w:tabs>
          <w:tab w:leader="none" w:pos="115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Award shall be deemed earned and vested with respect to an additional twenty-five percent (25%) (for a total of one hundred percent (100%)) of the Target on the second anniversary of the earliest Award Date applicable to any Performance Objective covered by this Agreement, subject to the continued employment of the Participant with the Company or an Affiliate through such vesting date.</w:t>
      </w:r>
    </w:p>
    <w:p>
      <w:pPr>
        <w:spacing w:after="0" w:line="110" w:lineRule="exact"/>
        <w:rPr>
          <w:sz w:val="20"/>
          <w:szCs w:val="20"/>
          <w:color w:val="auto"/>
        </w:rPr>
      </w:pPr>
    </w:p>
    <w:p>
      <w:pPr>
        <w:jc w:val="both"/>
        <w:ind w:left="4" w:firstLine="645"/>
        <w:spacing w:after="0" w:line="265" w:lineRule="auto"/>
        <w:tabs>
          <w:tab w:leader="none" w:pos="1084"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Special Post-Termination Earning and Vesting Terms</w:t>
      </w:r>
      <w:r>
        <w:rPr>
          <w:rFonts w:ascii="Arial" w:cs="Arial" w:eastAsia="Arial" w:hAnsi="Arial"/>
          <w:sz w:val="20"/>
          <w:szCs w:val="20"/>
          <w:color w:val="auto"/>
        </w:rPr>
        <w:t>: Notwithstanding the provisions of Section 3(a), the following terms</w:t>
      </w:r>
      <w:r>
        <w:rPr>
          <w:rFonts w:ascii="Arial" w:cs="Arial" w:eastAsia="Arial" w:hAnsi="Arial"/>
          <w:sz w:val="20"/>
          <w:szCs w:val="20"/>
          <w:i w:val="1"/>
          <w:iCs w:val="1"/>
          <w:color w:val="auto"/>
        </w:rPr>
        <w:t xml:space="preserve"> </w:t>
      </w:r>
      <w:r>
        <w:rPr>
          <w:rFonts w:ascii="Arial" w:cs="Arial" w:eastAsia="Arial" w:hAnsi="Arial"/>
          <w:sz w:val="20"/>
          <w:szCs w:val="20"/>
          <w:color w:val="auto"/>
        </w:rPr>
        <w:t>shall apply with respect to the Award , provided that the Participant resides in and is employed by the Company or an Affiliate based in the United States:</w:t>
      </w:r>
    </w:p>
    <w:p>
      <w:pPr>
        <w:spacing w:after="0" w:line="104" w:lineRule="exact"/>
        <w:rPr>
          <w:sz w:val="20"/>
          <w:szCs w:val="20"/>
          <w:color w:val="auto"/>
        </w:rPr>
      </w:pPr>
    </w:p>
    <w:p>
      <w:pPr>
        <w:ind w:left="4" w:firstLine="645"/>
        <w:spacing w:after="0" w:line="265" w:lineRule="auto"/>
        <w:tabs>
          <w:tab w:leader="none" w:pos="1077" w:val="left"/>
        </w:tabs>
        <w:numPr>
          <w:ilvl w:val="1"/>
          <w:numId w:val="145"/>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Cause, the Award (and any remaining right to underlying Shares) shall be forfeited immediately.</w:t>
      </w:r>
    </w:p>
    <w:p>
      <w:pPr>
        <w:spacing w:after="0" w:line="209" w:lineRule="exact"/>
        <w:rPr>
          <w:rFonts w:ascii="Arial" w:cs="Arial" w:eastAsia="Arial" w:hAnsi="Arial"/>
          <w:sz w:val="22"/>
          <w:szCs w:val="22"/>
          <w:color w:val="auto"/>
        </w:rPr>
      </w:pPr>
    </w:p>
    <w:p>
      <w:pPr>
        <w:jc w:val="both"/>
        <w:ind w:left="4" w:firstLine="645"/>
        <w:spacing w:after="0" w:line="283" w:lineRule="auto"/>
        <w:tabs>
          <w:tab w:leader="none" w:pos="1231" w:val="left"/>
        </w:tabs>
        <w:numPr>
          <w:ilvl w:val="1"/>
          <w:numId w:val="145"/>
        </w:numPr>
        <w:rPr>
          <w:rFonts w:ascii="Arial" w:cs="Arial" w:eastAsia="Arial" w:hAnsi="Arial"/>
          <w:sz w:val="21"/>
          <w:szCs w:val="21"/>
          <w:color w:val="auto"/>
        </w:rPr>
      </w:pPr>
      <w:r>
        <w:rPr>
          <w:rFonts w:ascii="Arial" w:cs="Arial" w:eastAsia="Arial" w:hAnsi="Arial"/>
          <w:sz w:val="19"/>
          <w:szCs w:val="19"/>
          <w:color w:val="auto"/>
        </w:rPr>
        <w:t>In the event of the Participant’s death (X) before the end of the Performance Period, the Award shall be deemed automatically earned and vested at the Target effective as of the date of the Participant’s death, or (Y) on or following the end of the Performance Period, to the extent the Award has previously been earned and is not fully vested as of the date of the Participant’s death, the Award shall automatically fully vest effective as of the date of the Participant’s death.</w:t>
      </w:r>
    </w:p>
    <w:p>
      <w:pPr>
        <w:spacing w:after="0" w:line="198" w:lineRule="exact"/>
        <w:rPr>
          <w:rFonts w:ascii="Arial" w:cs="Arial" w:eastAsia="Arial" w:hAnsi="Arial"/>
          <w:sz w:val="21"/>
          <w:szCs w:val="21"/>
          <w:color w:val="auto"/>
        </w:rPr>
      </w:pPr>
    </w:p>
    <w:p>
      <w:pPr>
        <w:ind w:left="4" w:firstLine="645"/>
        <w:spacing w:after="0" w:line="265" w:lineRule="auto"/>
        <w:tabs>
          <w:tab w:leader="none" w:pos="1251" w:val="left"/>
        </w:tabs>
        <w:numPr>
          <w:ilvl w:val="1"/>
          <w:numId w:val="145"/>
        </w:numPr>
        <w:rPr>
          <w:rFonts w:ascii="Arial" w:cs="Arial" w:eastAsia="Arial" w:hAnsi="Arial"/>
          <w:sz w:val="22"/>
          <w:szCs w:val="22"/>
          <w:color w:val="auto"/>
        </w:rPr>
      </w:pPr>
      <w:r>
        <w:rPr>
          <w:rFonts w:ascii="Arial" w:cs="Arial" w:eastAsia="Arial" w:hAnsi="Arial"/>
          <w:sz w:val="20"/>
          <w:szCs w:val="20"/>
          <w:color w:val="auto"/>
        </w:rPr>
        <w:t>In the event of the Participant’s termination of employment or service for any reason (including termination due to Disability) other than death or for Cause, the following terms shall apply with respect to the Award:</w:t>
      </w:r>
    </w:p>
    <w:p>
      <w:pPr>
        <w:spacing w:after="0" w:line="196" w:lineRule="exact"/>
        <w:rPr>
          <w:rFonts w:ascii="Arial" w:cs="Arial" w:eastAsia="Arial" w:hAnsi="Arial"/>
          <w:sz w:val="22"/>
          <w:szCs w:val="22"/>
          <w:color w:val="auto"/>
        </w:rPr>
      </w:pPr>
    </w:p>
    <w:p>
      <w:pPr>
        <w:jc w:val="both"/>
        <w:ind w:left="4" w:firstLine="1455"/>
        <w:spacing w:after="0" w:line="334" w:lineRule="auto"/>
        <w:tabs>
          <w:tab w:leader="none" w:pos="2141"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If the Participant (1) has executed, within the Statutory Notice Period, a Release and, if so determined by the Company, a Severance Agreement, (2) does not revoke the Release prior to the end of the seven-day statutory revocation period, and</w:t>
      </w:r>
    </w:p>
    <w:p>
      <w:pPr>
        <w:spacing w:after="0" w:line="1" w:lineRule="exact"/>
        <w:rPr>
          <w:rFonts w:ascii="Arial" w:cs="Arial" w:eastAsia="Arial" w:hAnsi="Arial"/>
          <w:sz w:val="16"/>
          <w:szCs w:val="16"/>
          <w:color w:val="auto"/>
        </w:rPr>
      </w:pPr>
    </w:p>
    <w:p>
      <w:pPr>
        <w:jc w:val="both"/>
        <w:ind w:left="4" w:hanging="4"/>
        <w:spacing w:after="0" w:line="307" w:lineRule="auto"/>
        <w:tabs>
          <w:tab w:leader="none" w:pos="29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satisfies the Post-Employment Condition, then (X) if the Participant’s Termination Date is on or after the end of the Performance Period, to the extent the Award has previously been earned, the Award shall continue to vest, and (Y) if the Participant’s Termination Date precedes the end of the Performance Period, the Award shall continue to be eligible to be earned (based on the Administrator’s determination of the extent, if any, to which the Performance Objectives have been met following the end of the Performance Period) and shall vest, in each case, according to the vesting schedule stated in Section 3(a) above as if the Participant had remained an Employee of, or service provider to, the Company or an Affiliate during the Post-Termination Period.</w:t>
      </w:r>
    </w:p>
    <w:p>
      <w:pPr>
        <w:spacing w:after="0" w:line="39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4"/>
          </w:cols>
          <w:pgMar w:left="896" w:top="636" w:right="239" w:bottom="1440" w:gutter="0" w:footer="0" w:header="0"/>
        </w:sectPr>
      </w:pPr>
    </w:p>
    <w:bookmarkStart w:id="193" w:name="page194"/>
    <w:bookmarkEnd w:id="193"/>
    <w:p>
      <w:pPr>
        <w:jc w:val="both"/>
        <w:ind w:left="4" w:firstLine="1455"/>
        <w:spacing w:after="0" w:line="274" w:lineRule="auto"/>
        <w:tabs>
          <w:tab w:leader="none" w:pos="2130" w:val="left"/>
        </w:tabs>
        <w:numPr>
          <w:ilvl w:val="2"/>
          <w:numId w:val="147"/>
        </w:numPr>
        <w:rPr>
          <w:rFonts w:ascii="Arial" w:cs="Arial" w:eastAsia="Arial" w:hAnsi="Arial"/>
          <w:sz w:val="20"/>
          <w:szCs w:val="20"/>
          <w:color w:val="auto"/>
        </w:rPr>
      </w:pPr>
      <w:r>
        <w:rPr>
          <w:rFonts w:ascii="Arial" w:cs="Arial" w:eastAsia="Arial" w:hAnsi="Arial"/>
          <w:sz w:val="20"/>
          <w:szCs w:val="20"/>
          <w:color w:val="auto"/>
        </w:rPr>
        <w:t>If the Participant fails to execute such Release and, if applicable, Severance Agreement, within the Statutory Notice Period, or revokes the Release prior to the end of the seven-day statutory revocation period, or violates the Post-Employment Condition, the Award (and any remaining right to underlying Shares) shall be deemed forfeited in its entirety as of the Participant’s Termination Date.</w:t>
      </w:r>
    </w:p>
    <w:p>
      <w:pPr>
        <w:spacing w:after="0" w:line="192" w:lineRule="exact"/>
        <w:rPr>
          <w:rFonts w:ascii="Arial" w:cs="Arial" w:eastAsia="Arial" w:hAnsi="Arial"/>
          <w:sz w:val="20"/>
          <w:szCs w:val="20"/>
          <w:color w:val="auto"/>
        </w:rPr>
      </w:pPr>
    </w:p>
    <w:p>
      <w:pPr>
        <w:jc w:val="both"/>
        <w:ind w:left="4" w:firstLine="1455"/>
        <w:spacing w:after="0" w:line="297" w:lineRule="auto"/>
        <w:tabs>
          <w:tab w:leader="none" w:pos="213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If the Administrator determines in the exercise of its discretion that the Participant has committed a breach or violation of the Release, the Severance Agreement, the ICN Agreement or the Post-Employment Condition at any time on or prior to the end of the Post-Termination Period (without regard to when the Administrator first discovers or has notice of any such breach or violation), then, in addition to any other remedies available to the Company at law or in equity as a result of such breach or violation,</w:t>
      </w:r>
    </w:p>
    <w:p>
      <w:pPr>
        <w:spacing w:after="0" w:line="1" w:lineRule="exact"/>
        <w:rPr>
          <w:rFonts w:ascii="Arial" w:cs="Arial" w:eastAsia="Arial" w:hAnsi="Arial"/>
          <w:sz w:val="18"/>
          <w:szCs w:val="18"/>
          <w:color w:val="auto"/>
        </w:rPr>
      </w:pPr>
    </w:p>
    <w:p>
      <w:pPr>
        <w:jc w:val="both"/>
        <w:ind w:left="4" w:hanging="4"/>
        <w:spacing w:after="0" w:line="304" w:lineRule="auto"/>
        <w:tabs>
          <w:tab w:leader="none" w:pos="2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 related to the grant or vesting of the Award), and the Participant shall cease to have any interest in or right to such Shares and shall cease to be recognized as the legal owner of such Shares; and (3)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3.</w:t>
      </w:r>
    </w:p>
    <w:p>
      <w:pPr>
        <w:spacing w:after="0" w:line="171" w:lineRule="exact"/>
        <w:rPr>
          <w:rFonts w:ascii="Arial" w:cs="Arial" w:eastAsia="Arial" w:hAnsi="Arial"/>
          <w:sz w:val="18"/>
          <w:szCs w:val="18"/>
          <w:color w:val="auto"/>
        </w:rPr>
      </w:pPr>
    </w:p>
    <w:p>
      <w:pPr>
        <w:jc w:val="both"/>
        <w:ind w:left="4" w:firstLine="1455"/>
        <w:spacing w:after="0" w:line="314" w:lineRule="auto"/>
        <w:tabs>
          <w:tab w:leader="none" w:pos="2141"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If, during the Post-Termination Period, the Participant dies (1) before the end of the Performance Period, the Award shall be deemed automatically fully earned and vested at the Target effective as of the date of the Participant’s death, or (2) on or after the end of the Performance Period, to the extent the Award has previously been earned and is not fully vested as of the date of the Participant’s death, such Award shall automatically fully vest effective as of the date of the Participant’s death.</w:t>
      </w:r>
    </w:p>
    <w:p>
      <w:pPr>
        <w:spacing w:after="0" w:line="172" w:lineRule="exact"/>
        <w:rPr>
          <w:rFonts w:ascii="Arial" w:cs="Arial" w:eastAsia="Arial" w:hAnsi="Arial"/>
          <w:sz w:val="18"/>
          <w:szCs w:val="18"/>
          <w:color w:val="auto"/>
        </w:rPr>
      </w:pPr>
    </w:p>
    <w:p>
      <w:pPr>
        <w:jc w:val="both"/>
        <w:ind w:left="4" w:firstLine="645"/>
        <w:spacing w:after="0" w:line="282" w:lineRule="auto"/>
        <w:tabs>
          <w:tab w:leader="none" w:pos="1320" w:val="left"/>
        </w:tabs>
        <w:numPr>
          <w:ilvl w:val="1"/>
          <w:numId w:val="148"/>
        </w:numPr>
        <w:rPr>
          <w:rFonts w:ascii="Arial" w:cs="Arial" w:eastAsia="Arial" w:hAnsi="Arial"/>
          <w:sz w:val="21"/>
          <w:szCs w:val="21"/>
          <w:color w:val="auto"/>
        </w:rPr>
      </w:pPr>
      <w:r>
        <w:rPr>
          <w:rFonts w:ascii="Arial" w:cs="Arial" w:eastAsia="Arial" w:hAnsi="Arial"/>
          <w:sz w:val="19"/>
          <w:szCs w:val="19"/>
          <w:color w:val="auto"/>
        </w:rPr>
        <w:t>Except as otherwise provided in Section 3(b)(v) below, any Shares and any other benefit subject to the Award distributable to the Participant following the Termination Date pursuant to Section 3(b) herein shall be issued in accordance with the vesting schedule stated in Section 3(a) above and shall be distributed on such vesting dates or a later date(s) within the same taxable year of the Participant’s Termination Date, or, if later, by the 15th day of the third calendar month following the date(s) specified in Section 3(a) and the Participant shall not be permitted, directly or indirectly, to designate the taxable year of distribution, or shall otherwise be made in accordance with Code Section 409A and related regulations.</w:t>
      </w:r>
    </w:p>
    <w:p>
      <w:pPr>
        <w:spacing w:after="0" w:line="201" w:lineRule="exact"/>
        <w:rPr>
          <w:rFonts w:ascii="Arial" w:cs="Arial" w:eastAsia="Arial" w:hAnsi="Arial"/>
          <w:sz w:val="21"/>
          <w:szCs w:val="21"/>
          <w:color w:val="auto"/>
        </w:rPr>
      </w:pPr>
    </w:p>
    <w:p>
      <w:pPr>
        <w:jc w:val="both"/>
        <w:ind w:left="4" w:firstLine="645"/>
        <w:spacing w:after="0" w:line="304" w:lineRule="auto"/>
        <w:tabs>
          <w:tab w:leader="none" w:pos="1152" w:val="left"/>
        </w:tabs>
        <w:numPr>
          <w:ilvl w:val="1"/>
          <w:numId w:val="148"/>
        </w:numPr>
        <w:rPr>
          <w:rFonts w:ascii="Arial" w:cs="Arial" w:eastAsia="Arial" w:hAnsi="Arial"/>
          <w:sz w:val="19"/>
          <w:szCs w:val="19"/>
          <w:color w:val="auto"/>
        </w:rPr>
      </w:pPr>
      <w:r>
        <w:rPr>
          <w:rFonts w:ascii="Arial" w:cs="Arial" w:eastAsia="Arial" w:hAnsi="Arial"/>
          <w:sz w:val="18"/>
          <w:szCs w:val="18"/>
          <w:color w:val="auto"/>
        </w:rPr>
        <w:t>Any Shares issuable to such person or persons as shall have acquired the right to the Award by will or by the laws of descent and distribution following the Participant’s death pursuant to Section 3(b)(ii) or Section 3(b)(iii)(D) above shall be issued to such person or persons on the date that is the 90th day following the date of the Participant’s death and shall be distributed on such date or a later date within the same taxable year of the Participant’s death, or, if later, by the 15th day of the third calendar month following the taxable year of the Participant’s death and the Participant (or such person or persons as shall have acquired the right to the Award by will or by the laws of descent and distribution) shall not be permitted, directly or indirectly, to designate the taxable year of</w:t>
      </w:r>
    </w:p>
    <w:p>
      <w:pPr>
        <w:spacing w:after="0" w:line="40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4"/>
          </w:cols>
          <w:pgMar w:left="896" w:top="636" w:right="239" w:bottom="1440" w:gutter="0" w:footer="0" w:header="0"/>
        </w:sectPr>
      </w:pPr>
    </w:p>
    <w:bookmarkStart w:id="194" w:name="page195"/>
    <w:bookmarkEnd w:id="194"/>
    <w:p>
      <w:pPr>
        <w:ind w:left="660"/>
        <w:spacing w:after="0"/>
        <w:rPr>
          <w:sz w:val="20"/>
          <w:szCs w:val="20"/>
          <w:color w:val="auto"/>
        </w:rPr>
      </w:pPr>
      <w:r>
        <w:rPr>
          <w:rFonts w:ascii="Arial" w:cs="Arial" w:eastAsia="Arial" w:hAnsi="Arial"/>
          <w:sz w:val="20"/>
          <w:szCs w:val="20"/>
          <w:color w:val="auto"/>
        </w:rPr>
        <w:t>distribution, or shall otherwise be issued and distributed in accordance with Code Section 409A and related regulations.</w:t>
      </w:r>
    </w:p>
    <w:p>
      <w:pPr>
        <w:spacing w:after="0" w:line="243" w:lineRule="exact"/>
        <w:rPr>
          <w:sz w:val="20"/>
          <w:szCs w:val="20"/>
          <w:color w:val="auto"/>
        </w:rPr>
      </w:pPr>
    </w:p>
    <w:p>
      <w:pPr>
        <w:ind w:left="1720" w:hanging="415"/>
        <w:spacing w:after="0"/>
        <w:tabs>
          <w:tab w:leader="none" w:pos="1720" w:val="left"/>
        </w:tabs>
        <w:numPr>
          <w:ilvl w:val="0"/>
          <w:numId w:val="149"/>
        </w:numPr>
        <w:rPr>
          <w:rFonts w:ascii="Arial" w:cs="Arial" w:eastAsia="Arial" w:hAnsi="Arial"/>
          <w:sz w:val="19"/>
          <w:szCs w:val="19"/>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In addition to other terms defined herein or in the Agreement, the following terms shall have the meanings</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given below:</w:t>
      </w:r>
    </w:p>
    <w:p>
      <w:pPr>
        <w:spacing w:after="0" w:line="148" w:lineRule="exact"/>
        <w:rPr>
          <w:sz w:val="20"/>
          <w:szCs w:val="20"/>
          <w:color w:val="auto"/>
        </w:rPr>
      </w:pPr>
    </w:p>
    <w:p>
      <w:pPr>
        <w:ind w:left="660" w:firstLine="645"/>
        <w:spacing w:after="0" w:line="265" w:lineRule="auto"/>
        <w:tabs>
          <w:tab w:leader="none" w:pos="1706" w:val="left"/>
        </w:tabs>
        <w:numPr>
          <w:ilvl w:val="0"/>
          <w:numId w:val="150"/>
        </w:numPr>
        <w:rPr>
          <w:rFonts w:ascii="Arial" w:cs="Arial" w:eastAsia="Arial" w:hAnsi="Arial"/>
          <w:sz w:val="22"/>
          <w:szCs w:val="22"/>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w:t>
      </w:r>
    </w:p>
    <w:p>
      <w:pPr>
        <w:spacing w:after="0" w:line="209" w:lineRule="exact"/>
        <w:rPr>
          <w:rFonts w:ascii="Arial" w:cs="Arial" w:eastAsia="Arial" w:hAnsi="Arial"/>
          <w:sz w:val="22"/>
          <w:szCs w:val="22"/>
          <w:color w:val="auto"/>
        </w:rPr>
      </w:pPr>
    </w:p>
    <w:p>
      <w:pPr>
        <w:ind w:left="660" w:firstLine="645"/>
        <w:spacing w:after="0" w:line="265" w:lineRule="auto"/>
        <w:tabs>
          <w:tab w:leader="none" w:pos="1806" w:val="left"/>
        </w:tabs>
        <w:numPr>
          <w:ilvl w:val="0"/>
          <w:numId w:val="150"/>
        </w:numPr>
        <w:rPr>
          <w:rFonts w:ascii="Arial" w:cs="Arial" w:eastAsia="Arial" w:hAnsi="Arial"/>
          <w:sz w:val="22"/>
          <w:szCs w:val="22"/>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209" w:lineRule="exact"/>
        <w:rPr>
          <w:rFonts w:ascii="Arial" w:cs="Arial" w:eastAsia="Arial" w:hAnsi="Arial"/>
          <w:sz w:val="22"/>
          <w:szCs w:val="22"/>
          <w:color w:val="auto"/>
        </w:rPr>
      </w:pPr>
    </w:p>
    <w:p>
      <w:pPr>
        <w:jc w:val="both"/>
        <w:ind w:left="660" w:firstLine="645"/>
        <w:spacing w:after="0" w:line="265" w:lineRule="auto"/>
        <w:tabs>
          <w:tab w:leader="none" w:pos="1853" w:val="left"/>
        </w:tabs>
        <w:numPr>
          <w:ilvl w:val="0"/>
          <w:numId w:val="150"/>
        </w:numPr>
        <w:rPr>
          <w:rFonts w:ascii="Arial" w:cs="Arial" w:eastAsia="Arial" w:hAnsi="Arial"/>
          <w:sz w:val="22"/>
          <w:szCs w:val="22"/>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212" w:lineRule="exact"/>
        <w:rPr>
          <w:rFonts w:ascii="Arial" w:cs="Arial" w:eastAsia="Arial" w:hAnsi="Arial"/>
          <w:sz w:val="22"/>
          <w:szCs w:val="22"/>
          <w:color w:val="auto"/>
        </w:rPr>
      </w:pPr>
    </w:p>
    <w:p>
      <w:pPr>
        <w:ind w:left="660" w:firstLine="645"/>
        <w:spacing w:after="0" w:line="265" w:lineRule="auto"/>
        <w:tabs>
          <w:tab w:leader="none" w:pos="1827" w:val="left"/>
        </w:tabs>
        <w:numPr>
          <w:ilvl w:val="0"/>
          <w:numId w:val="150"/>
        </w:numPr>
        <w:rPr>
          <w:rFonts w:ascii="Arial" w:cs="Arial" w:eastAsia="Arial" w:hAnsi="Arial"/>
          <w:sz w:val="22"/>
          <w:szCs w:val="22"/>
          <w:color w:val="auto"/>
        </w:rPr>
      </w:pPr>
      <w:r>
        <w:rPr>
          <w:rFonts w:ascii="Arial" w:cs="Arial" w:eastAsia="Arial" w:hAnsi="Arial"/>
          <w:sz w:val="20"/>
          <w:szCs w:val="20"/>
          <w:color w:val="auto"/>
        </w:rPr>
        <w:t>“Post-Termination Period” means the period commencing on the Participant’s Termination Date and ending on the date that the last installment of Shares covered by the Award vests under this Agreement.</w:t>
      </w:r>
    </w:p>
    <w:p>
      <w:pPr>
        <w:spacing w:after="0" w:line="209" w:lineRule="exact"/>
        <w:rPr>
          <w:rFonts w:ascii="Arial" w:cs="Arial" w:eastAsia="Arial" w:hAnsi="Arial"/>
          <w:sz w:val="22"/>
          <w:szCs w:val="22"/>
          <w:color w:val="auto"/>
        </w:rPr>
      </w:pPr>
    </w:p>
    <w:p>
      <w:pPr>
        <w:jc w:val="both"/>
        <w:ind w:left="660" w:right="20" w:firstLine="645"/>
        <w:spacing w:after="0" w:line="313" w:lineRule="auto"/>
        <w:tabs>
          <w:tab w:leader="none" w:pos="1767" w:val="left"/>
        </w:tabs>
        <w:numPr>
          <w:ilvl w:val="0"/>
          <w:numId w:val="150"/>
        </w:numPr>
        <w:rPr>
          <w:rFonts w:ascii="Arial" w:cs="Arial" w:eastAsia="Arial" w:hAnsi="Arial"/>
          <w:sz w:val="19"/>
          <w:szCs w:val="19"/>
          <w:color w:val="auto"/>
        </w:rPr>
      </w:pPr>
      <w:r>
        <w:rPr>
          <w:rFonts w:ascii="Arial" w:cs="Arial" w:eastAsia="Arial" w:hAnsi="Arial"/>
          <w:sz w:val="18"/>
          <w:szCs w:val="18"/>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174" w:lineRule="exact"/>
        <w:rPr>
          <w:rFonts w:ascii="Arial" w:cs="Arial" w:eastAsia="Arial" w:hAnsi="Arial"/>
          <w:sz w:val="19"/>
          <w:szCs w:val="19"/>
          <w:color w:val="auto"/>
        </w:rPr>
      </w:pPr>
    </w:p>
    <w:p>
      <w:pPr>
        <w:jc w:val="both"/>
        <w:ind w:left="660" w:firstLine="645"/>
        <w:spacing w:after="0" w:line="265" w:lineRule="auto"/>
        <w:tabs>
          <w:tab w:leader="none" w:pos="1962" w:val="left"/>
        </w:tabs>
        <w:numPr>
          <w:ilvl w:val="0"/>
          <w:numId w:val="150"/>
        </w:numPr>
        <w:rPr>
          <w:rFonts w:ascii="Arial" w:cs="Arial" w:eastAsia="Arial" w:hAnsi="Arial"/>
          <w:sz w:val="22"/>
          <w:szCs w:val="22"/>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212" w:lineRule="exact"/>
        <w:rPr>
          <w:rFonts w:ascii="Arial" w:cs="Arial" w:eastAsia="Arial" w:hAnsi="Arial"/>
          <w:sz w:val="22"/>
          <w:szCs w:val="22"/>
          <w:color w:val="auto"/>
        </w:rPr>
      </w:pPr>
    </w:p>
    <w:p>
      <w:pPr>
        <w:ind w:left="660" w:firstLine="645"/>
        <w:spacing w:after="0" w:line="265" w:lineRule="auto"/>
        <w:tabs>
          <w:tab w:leader="none" w:pos="1914" w:val="left"/>
        </w:tabs>
        <w:numPr>
          <w:ilvl w:val="0"/>
          <w:numId w:val="150"/>
        </w:numPr>
        <w:rPr>
          <w:rFonts w:ascii="Arial" w:cs="Arial" w:eastAsia="Arial" w:hAnsi="Arial"/>
          <w:sz w:val="22"/>
          <w:szCs w:val="22"/>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196" w:lineRule="exact"/>
        <w:rPr>
          <w:sz w:val="20"/>
          <w:szCs w:val="20"/>
          <w:color w:val="auto"/>
        </w:rPr>
      </w:pPr>
    </w:p>
    <w:p>
      <w:pPr>
        <w:jc w:val="both"/>
        <w:ind w:firstLine="656"/>
        <w:spacing w:after="0" w:line="297" w:lineRule="auto"/>
        <w:tabs>
          <w:tab w:leader="none" w:pos="144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Notwithstanding the provisions of Section 14 of the Plan and Sections 1 and 3(a) of Schedule A, in the event of a Change of Control, the Performance Objectives shall be deemed met for an Award with the number of underlying Shares equal to</w:t>
      </w:r>
    </w:p>
    <w:p>
      <w:pPr>
        <w:spacing w:after="0"/>
        <w:rPr>
          <w:rFonts w:ascii="Arial" w:cs="Arial" w:eastAsia="Arial" w:hAnsi="Arial"/>
          <w:sz w:val="18"/>
          <w:szCs w:val="18"/>
          <w:color w:val="auto"/>
        </w:rPr>
      </w:pPr>
      <w:r>
        <w:rPr>
          <w:rFonts w:ascii="Arial" w:cs="Arial" w:eastAsia="Arial" w:hAnsi="Arial"/>
          <w:sz w:val="20"/>
          <w:szCs w:val="20"/>
          <w:color w:val="auto"/>
        </w:rPr>
        <w:t>100% of the Target and the Award shall be deemed earned and vested as follows:</w:t>
      </w:r>
    </w:p>
    <w:p>
      <w:pPr>
        <w:spacing w:after="0" w:line="121" w:lineRule="exact"/>
        <w:rPr>
          <w:rFonts w:ascii="Arial" w:cs="Arial" w:eastAsia="Arial" w:hAnsi="Arial"/>
          <w:sz w:val="18"/>
          <w:szCs w:val="18"/>
          <w:color w:val="auto"/>
        </w:rPr>
      </w:pPr>
    </w:p>
    <w:p>
      <w:pPr>
        <w:ind w:left="660" w:right="20" w:firstLine="645"/>
        <w:spacing w:after="0" w:line="316" w:lineRule="auto"/>
        <w:tabs>
          <w:tab w:leader="none" w:pos="1739"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Award shall be deemed earned and vested with respect to fifty percent (50%) of the Target on the date of the Change of Control, subject to the continued employment of the Participant with the Company or an Affiliate through such vesting date;</w:t>
      </w:r>
    </w:p>
    <w:p>
      <w:pPr>
        <w:spacing w:after="0" w:line="22" w:lineRule="exact"/>
        <w:rPr>
          <w:rFonts w:ascii="Arial" w:cs="Arial" w:eastAsia="Arial" w:hAnsi="Arial"/>
          <w:sz w:val="18"/>
          <w:szCs w:val="18"/>
          <w:color w:val="auto"/>
        </w:rPr>
      </w:pPr>
    </w:p>
    <w:p>
      <w:pPr>
        <w:jc w:val="both"/>
        <w:ind w:left="660" w:firstLine="645"/>
        <w:spacing w:after="0" w:line="250" w:lineRule="auto"/>
        <w:tabs>
          <w:tab w:leader="none" w:pos="1818" w:val="left"/>
        </w:tabs>
        <w:numPr>
          <w:ilvl w:val="1"/>
          <w:numId w:val="151"/>
        </w:numPr>
        <w:rPr>
          <w:rFonts w:ascii="Arial" w:cs="Arial" w:eastAsia="Arial" w:hAnsi="Arial"/>
          <w:sz w:val="20"/>
          <w:szCs w:val="20"/>
          <w:color w:val="auto"/>
        </w:rPr>
      </w:pPr>
      <w:r>
        <w:rPr>
          <w:rFonts w:ascii="Arial" w:cs="Arial" w:eastAsia="Arial" w:hAnsi="Arial"/>
          <w:sz w:val="20"/>
          <w:szCs w:val="20"/>
          <w:color w:val="auto"/>
        </w:rPr>
        <w:t>The Award shall be deemed earned and vested with respect to an additional twenty-five percent (25%) (for a total of seventy-five percent (75%)) of the Target on the second anniversary of the Effective Date, subject to the continued employment of the Participant with the Company or an Affiliate through such vesting date; and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622" w:right="239" w:bottom="1440" w:gutter="0" w:footer="0" w:header="0"/>
        </w:sectPr>
      </w:pPr>
    </w:p>
    <w:bookmarkStart w:id="195" w:name="page196"/>
    <w:bookmarkEnd w:id="195"/>
    <w:p>
      <w:pPr>
        <w:jc w:val="both"/>
        <w:ind w:left="660" w:firstLine="645"/>
        <w:spacing w:after="0" w:line="250" w:lineRule="auto"/>
        <w:tabs>
          <w:tab w:leader="none" w:pos="1749" w:val="left"/>
        </w:tabs>
        <w:numPr>
          <w:ilvl w:val="1"/>
          <w:numId w:val="152"/>
        </w:numPr>
        <w:rPr>
          <w:rFonts w:ascii="Arial" w:cs="Arial" w:eastAsia="Arial" w:hAnsi="Arial"/>
          <w:sz w:val="20"/>
          <w:szCs w:val="20"/>
          <w:color w:val="auto"/>
        </w:rPr>
      </w:pPr>
      <w:r>
        <w:rPr>
          <w:rFonts w:ascii="Arial" w:cs="Arial" w:eastAsia="Arial" w:hAnsi="Arial"/>
          <w:sz w:val="20"/>
          <w:szCs w:val="20"/>
          <w:color w:val="auto"/>
        </w:rPr>
        <w:t>The Award shall be deemed earned and vested with respect to an additional twenty-five percent (25%) (for a total of one hundred percent (100%)) of the Target on the third anniversary of the Effective Date, subject to the continued employment of the Participant with the Company or an Affiliate through such vesting date.</w:t>
      </w:r>
    </w:p>
    <w:p>
      <w:pPr>
        <w:spacing w:after="0" w:line="78" w:lineRule="exact"/>
        <w:rPr>
          <w:rFonts w:ascii="Arial" w:cs="Arial" w:eastAsia="Arial" w:hAnsi="Arial"/>
          <w:sz w:val="20"/>
          <w:szCs w:val="20"/>
          <w:color w:val="auto"/>
        </w:rPr>
      </w:pPr>
    </w:p>
    <w:p>
      <w:pPr>
        <w:jc w:val="both"/>
        <w:ind w:firstLine="656"/>
        <w:spacing w:after="0" w:line="250" w:lineRule="auto"/>
        <w:tabs>
          <w:tab w:leader="none" w:pos="1022"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If the Company pays a dividend at any time after the Effective Date, such dividends shall be paid to the Participant at the end of each applicable Performance Period in accordance with Section 8 of the Agreement and Sections 3(b)(iv) and 3(b)(v) of this Schedule A if and to the extent the underlying Shares are earned in that Performance Period.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623" w:right="239" w:bottom="1440" w:gutter="0" w:footer="0" w:header="0"/>
        </w:sectPr>
      </w:pPr>
    </w:p>
    <w:bookmarkStart w:id="196" w:name="page197"/>
    <w:bookmarkEnd w:id="196"/>
    <w:p>
      <w:pPr>
        <w:jc w:val="both"/>
        <w:ind w:firstLine="648"/>
        <w:spacing w:after="0" w:line="243" w:lineRule="auto"/>
        <w:rPr>
          <w:sz w:val="20"/>
          <w:szCs w:val="20"/>
          <w:color w:val="auto"/>
        </w:rPr>
      </w:pPr>
      <w:r>
        <w:rPr>
          <w:rFonts w:ascii="Arial" w:cs="Arial" w:eastAsia="Arial" w:hAnsi="Arial"/>
          <w:sz w:val="20"/>
          <w:szCs w:val="20"/>
          <w:color w:val="auto"/>
        </w:rPr>
        <w:t xml:space="preserve">By my signature below, I, the Participant, hereby acknowledge receipt of this Grant Letter and the Agreement, including any special terms and conditions for my country in the Appendix attached thereto. I understand that the provisions of Schedule A and Schedule B are incorporated by reference into the Agreement and constitute a part of the Agreement. </w:t>
      </w:r>
      <w:r>
        <w:rPr>
          <w:rFonts w:ascii="Arial" w:cs="Arial" w:eastAsia="Arial" w:hAnsi="Arial"/>
          <w:sz w:val="20"/>
          <w:szCs w:val="20"/>
          <w:u w:val="single" w:color="auto"/>
          <w:color w:val="auto"/>
        </w:rPr>
        <w:t>By my signature below, I further agree to be bound by 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terms of the Plan and the Agreement, including but not limited to the terms of Schedule A and Schedule B herein. The Company reserves the right to treat the Award and the Agreement as cancelled, void and of no effect if the Participant fails to return a signed copy of the Grant Letter within thirty (30) days of receipt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720" w:val="left"/>
        </w:tabs>
        <w:rPr>
          <w:sz w:val="20"/>
          <w:szCs w:val="20"/>
          <w:color w:val="auto"/>
        </w:rPr>
      </w:pPr>
      <w:r>
        <w:rPr>
          <w:rFonts w:ascii="Arial" w:cs="Arial" w:eastAsia="Arial" w:hAnsi="Arial"/>
          <w:sz w:val="20"/>
          <w:szCs w:val="20"/>
          <w:color w:val="auto"/>
        </w:rPr>
        <w:t>Signature: ___________________________________</w:t>
      </w:r>
      <w:r>
        <w:rPr>
          <w:sz w:val="20"/>
          <w:szCs w:val="20"/>
          <w:color w:val="auto"/>
        </w:rPr>
        <w:tab/>
      </w:r>
      <w:r>
        <w:rPr>
          <w:rFonts w:ascii="Arial" w:cs="Arial" w:eastAsia="Arial" w:hAnsi="Arial"/>
          <w:sz w:val="16"/>
          <w:szCs w:val="16"/>
          <w:color w:val="auto"/>
        </w:rPr>
        <w:t>Date: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622"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Period and Performance Objectives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[Modify schedule as appropriate.]</w:t>
      </w:r>
    </w:p>
    <w:p>
      <w:pPr>
        <w:spacing w:after="0" w:line="229" w:lineRule="exact"/>
        <w:rPr>
          <w:sz w:val="20"/>
          <w:szCs w:val="20"/>
          <w:color w:val="auto"/>
        </w:rPr>
      </w:pPr>
    </w:p>
    <w:p>
      <w:pPr>
        <w:ind w:left="380" w:hanging="372"/>
        <w:spacing w:after="0"/>
        <w:tabs>
          <w:tab w:leader="none" w:pos="380" w:val="left"/>
        </w:tabs>
        <w:numPr>
          <w:ilvl w:val="0"/>
          <w:numId w:val="154"/>
        </w:numPr>
        <w:rPr>
          <w:rFonts w:ascii="Arial" w:cs="Arial" w:eastAsia="Arial" w:hAnsi="Arial"/>
          <w:sz w:val="21"/>
          <w:szCs w:val="21"/>
          <w:color w:val="auto"/>
        </w:rPr>
      </w:pPr>
      <w:r>
        <w:rPr>
          <w:rFonts w:ascii="Arial" w:cs="Arial" w:eastAsia="Arial" w:hAnsi="Arial"/>
          <w:sz w:val="20"/>
          <w:szCs w:val="20"/>
          <w:u w:val="single" w:color="auto"/>
          <w:color w:val="auto"/>
        </w:rPr>
        <w:t>Performance Period</w:t>
      </w:r>
      <w:r>
        <w:rPr>
          <w:rFonts w:ascii="Arial" w:cs="Arial" w:eastAsia="Arial" w:hAnsi="Arial"/>
          <w:sz w:val="20"/>
          <w:szCs w:val="20"/>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Period is the period beginning _____________, and ending on _______________.</w:t>
      </w:r>
    </w:p>
    <w:p>
      <w:pPr>
        <w:spacing w:after="0" w:line="256" w:lineRule="exact"/>
        <w:rPr>
          <w:sz w:val="20"/>
          <w:szCs w:val="20"/>
          <w:color w:val="auto"/>
        </w:rPr>
      </w:pPr>
    </w:p>
    <w:p>
      <w:pPr>
        <w:ind w:left="380" w:hanging="372"/>
        <w:spacing w:after="0"/>
        <w:tabs>
          <w:tab w:leader="none" w:pos="380" w:val="left"/>
        </w:tabs>
        <w:numPr>
          <w:ilvl w:val="0"/>
          <w:numId w:val="155"/>
        </w:numPr>
        <w:rPr>
          <w:rFonts w:ascii="Arial" w:cs="Arial" w:eastAsia="Arial" w:hAnsi="Arial"/>
          <w:sz w:val="21"/>
          <w:szCs w:val="21"/>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w:t>
      </w: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The Performance Objectives for the Performance Period(s) applicable to the Participant pursuant to the Agreement are as follows: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616"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(Performance-Based Award for Senior Officers (TSR))</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THIS AGREEMENT, including any special terms and conditions for the Participant’s country set forth in the appendix attached hereto (the “Appendix”) (together with Schedule A and Schedule B, attached hereto, the “Agreement”), is made effective as of 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“Effective Date”) between QORVO, INC., a Delaware corporation (the “Company”), and ________________, an Employee of, or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individual in service to, the Company or an Affiliate (the “Participant”).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WHEREAS, the Compensation Committee of the Board of Directors of the Company (the “Administrator”) has approved the grant to the Participant of a contingent right to receive an award of Restricted Stock Units (the “Award”) for shares of Common Stock issuable under the Qorvo, Inc. 2012 Stock Incentive Plan (As Assumed by Qorvo, Inc. and Amended and Restated Effective January 1, 2015) (Formerly, the RF Micro Devices, Inc. 2012 Stock Incentive Plan), as it may be amended (the “Plan”), the grant and vesting of which Award is subject to the attainment of certain performance objectives, as further described in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furtherance of the purposes of the Plan, the Company and the Participant hereby agree as follows:</w:t>
      </w:r>
    </w:p>
    <w:p>
      <w:pPr>
        <w:spacing w:after="0" w:line="241" w:lineRule="exact"/>
        <w:rPr>
          <w:sz w:val="20"/>
          <w:szCs w:val="20"/>
          <w:color w:val="auto"/>
        </w:rPr>
      </w:pPr>
    </w:p>
    <w:p>
      <w:pPr>
        <w:jc w:val="both"/>
        <w:ind w:firstLine="656"/>
        <w:spacing w:after="0" w:line="314" w:lineRule="auto"/>
        <w:tabs>
          <w:tab w:leader="none" w:pos="1445"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this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45" w:lineRule="exact"/>
        <w:rPr>
          <w:rFonts w:ascii="Arial" w:cs="Arial" w:eastAsia="Arial" w:hAnsi="Arial"/>
          <w:sz w:val="18"/>
          <w:szCs w:val="18"/>
          <w:color w:val="auto"/>
        </w:rPr>
      </w:pPr>
    </w:p>
    <w:p>
      <w:pPr>
        <w:ind w:left="980" w:hanging="324"/>
        <w:spacing w:after="0"/>
        <w:tabs>
          <w:tab w:leader="none" w:pos="980"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Certain Defined Terms</w:t>
      </w:r>
      <w:r>
        <w:rPr>
          <w:rFonts w:ascii="Arial" w:cs="Arial" w:eastAsia="Arial" w:hAnsi="Arial"/>
          <w:sz w:val="19"/>
          <w:szCs w:val="19"/>
          <w:color w:val="auto"/>
        </w:rPr>
        <w:t>. The following terms used in this Agreement shall have the meanings set forth in this Section 2:</w:t>
      </w:r>
    </w:p>
    <w:p>
      <w:pPr>
        <w:spacing w:after="0" w:line="227" w:lineRule="exact"/>
        <w:rPr>
          <w:rFonts w:ascii="Arial" w:cs="Arial" w:eastAsia="Arial" w:hAnsi="Arial"/>
          <w:sz w:val="19"/>
          <w:szCs w:val="19"/>
          <w:color w:val="auto"/>
        </w:rPr>
      </w:pPr>
    </w:p>
    <w:p>
      <w:pPr>
        <w:jc w:val="both"/>
        <w:ind w:left="660" w:firstLine="645"/>
        <w:spacing w:after="0" w:line="246" w:lineRule="auto"/>
        <w:tabs>
          <w:tab w:leader="none" w:pos="1762" w:val="left"/>
        </w:tabs>
        <w:numPr>
          <w:ilvl w:val="1"/>
          <w:numId w:val="156"/>
        </w:numPr>
        <w:rPr>
          <w:rFonts w:ascii="Arial" w:cs="Arial" w:eastAsia="Arial" w:hAnsi="Arial"/>
          <w:sz w:val="20"/>
          <w:szCs w:val="20"/>
          <w:color w:val="auto"/>
        </w:rPr>
      </w:pPr>
      <w:r>
        <w:rPr>
          <w:rFonts w:ascii="Arial" w:cs="Arial" w:eastAsia="Arial" w:hAnsi="Arial"/>
          <w:sz w:val="20"/>
          <w:szCs w:val="20"/>
          <w:color w:val="auto"/>
        </w:rPr>
        <w:t>The “Award Date” is the date on which the Award or any portion of the Award is or may be granted to the Participant following the Administrator’s determination regarding whether all or a portion of the Performance Objectives have been attained and completion of such other action as may be necessary to complete the grant of the Award or a portion of the Award. Performance Objectives may have separate Award Dates.</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The “Effective Date” is the effective date of the Agreement, as stated above.</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The “Participant” is __________. Participant ID#__________.</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“Performance Objectives” are the specific performance objectives identified in Schedule B attached hereto.</w:t>
      </w:r>
    </w:p>
    <w:p>
      <w:pPr>
        <w:spacing w:after="0" w:line="215" w:lineRule="exact"/>
        <w:rPr>
          <w:rFonts w:ascii="Arial" w:cs="Arial" w:eastAsia="Arial" w:hAnsi="Arial"/>
          <w:sz w:val="20"/>
          <w:szCs w:val="20"/>
          <w:color w:val="auto"/>
        </w:rPr>
      </w:pPr>
    </w:p>
    <w:p>
      <w:pPr>
        <w:ind w:left="660" w:firstLine="645"/>
        <w:spacing w:after="0" w:line="260" w:lineRule="auto"/>
        <w:tabs>
          <w:tab w:leader="none" w:pos="1884" w:val="left"/>
        </w:tabs>
        <w:numPr>
          <w:ilvl w:val="1"/>
          <w:numId w:val="156"/>
        </w:numPr>
        <w:rPr>
          <w:rFonts w:ascii="Arial" w:cs="Arial" w:eastAsia="Arial" w:hAnsi="Arial"/>
          <w:sz w:val="20"/>
          <w:szCs w:val="20"/>
          <w:color w:val="auto"/>
        </w:rPr>
      </w:pPr>
      <w:r>
        <w:rPr>
          <w:rFonts w:ascii="Arial" w:cs="Arial" w:eastAsia="Arial" w:hAnsi="Arial"/>
          <w:sz w:val="20"/>
          <w:szCs w:val="20"/>
          <w:color w:val="auto"/>
        </w:rPr>
        <w:t>The “Performance Period” or “Performance Periods” shall be the Performance Period or Performance Periods as described in Schedule B.</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0" w:right="239" w:bottom="1440" w:gutter="0" w:footer="0" w:header="0"/>
        </w:sectPr>
      </w:pPr>
    </w:p>
    <w:bookmarkStart w:id="199" w:name="page200"/>
    <w:bookmarkEnd w:id="199"/>
    <w:p>
      <w:pPr>
        <w:ind w:left="660" w:firstLine="645"/>
        <w:spacing w:after="0" w:line="260" w:lineRule="auto"/>
        <w:tabs>
          <w:tab w:leader="none" w:pos="1713"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“Shares” shall be that number, if any, of shares of Common Stock subject to the Award which are or may be granted under this Agreement, as such number may be determined in accordance with Section 1 of Schedule A.</w:t>
      </w:r>
    </w:p>
    <w:p>
      <w:pPr>
        <w:spacing w:after="0" w:line="176" w:lineRule="exact"/>
        <w:rPr>
          <w:rFonts w:ascii="Arial" w:cs="Arial" w:eastAsia="Arial" w:hAnsi="Arial"/>
          <w:sz w:val="20"/>
          <w:szCs w:val="20"/>
          <w:color w:val="auto"/>
        </w:rPr>
      </w:pPr>
    </w:p>
    <w:p>
      <w:pPr>
        <w:ind w:left="980" w:hanging="324"/>
        <w:spacing w:after="0"/>
        <w:tabs>
          <w:tab w:leader="none" w:pos="98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Award Opportunity; Incorporation of the Terms of Schedule A and Schedule B of the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73" w:lineRule="auto"/>
        <w:tabs>
          <w:tab w:leader="none" w:pos="1749"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hereby grants to the Participant an opportunity to be granted the Award for a certain number of shares of Common Stock (as defined above, the “Shares”) based upon the level of attainment of the Performance Objectives, all as described in Schedule A and Schedule B, during the Performance Period. The number, if any, of Shares subject to the Award shall be determined by the Administrator based on the achievement of the Performance Objectives described in Schedule B. No Award is being granted at this time, and no Award shall be granted unless and until the Administrator, in its sole discretion and in accordance with the terms of the Plan and this Agreement, determines whether and to what extent the Award has been earned (including but not limited to determining whether and to what extent the Performance Objectives have been met), determines the number of Shares that shall be subject to the Award and takes any other action it deems necessary or advisable in order to complete the grant.</w:t>
      </w:r>
    </w:p>
    <w:p>
      <w:pPr>
        <w:spacing w:after="0" w:line="169" w:lineRule="exact"/>
        <w:rPr>
          <w:rFonts w:ascii="Arial" w:cs="Arial" w:eastAsia="Arial" w:hAnsi="Arial"/>
          <w:sz w:val="18"/>
          <w:szCs w:val="18"/>
          <w:color w:val="auto"/>
        </w:rPr>
      </w:pPr>
    </w:p>
    <w:p>
      <w:pPr>
        <w:jc w:val="both"/>
        <w:ind w:left="660" w:firstLine="645"/>
        <w:spacing w:after="0" w:line="246" w:lineRule="auto"/>
        <w:tabs>
          <w:tab w:leader="none" w:pos="1719" w:val="left"/>
        </w:tabs>
        <w:numPr>
          <w:ilvl w:val="1"/>
          <w:numId w:val="158"/>
        </w:numPr>
        <w:rPr>
          <w:rFonts w:ascii="Arial" w:cs="Arial" w:eastAsia="Arial" w:hAnsi="Arial"/>
          <w:sz w:val="20"/>
          <w:szCs w:val="20"/>
          <w:color w:val="auto"/>
        </w:rPr>
      </w:pPr>
      <w:r>
        <w:rPr>
          <w:rFonts w:ascii="Arial" w:cs="Arial" w:eastAsia="Arial" w:hAnsi="Arial"/>
          <w:sz w:val="20"/>
          <w:szCs w:val="20"/>
          <w:u w:val="single" w:color="auto"/>
          <w:color w:val="auto"/>
        </w:rPr>
        <w:t>The Participant expressly acknowledges that the terms of Schedule A and Schedule B are incorporated herein by reference and constitute part of this Agreement. The Company and the Participant further acknowledge that the Company’s signature on the signature page hereof, and the Participant’s signature on the Grant Letter contained in Schedule A, constitute their acceptance of all of the terms of this Agreement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70" w:lineRule="auto"/>
        <w:tabs>
          <w:tab w:leader="none" w:pos="107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Subject to the terms of this Agreement and the Plan, the Company shall grant the Participant an Award of Restricted Stock Units (as defined above, the “Award”) for that number of Shares as is determined in accordance with Schedule A and Schedule B if and only if and to the extent that the Performance Objectives are met during the applicable Performance Period, as further described in Schedule A and Schedule B. The number of Shares, if any, subject to the Award shall be determined by the Administrator in its sole discretion in accordance with the Plan and this Agreement (including Schedule A and Schedule B) following completion of the applicable Performance Period. The Award Date shall be as soon as practicable after the end of the applicable Performance Period and the Administrator’s determination of the extent, if any, to which the Performance Objectives have been met and the Award has been earned (but, in any event, shall be in the calendar year that the applicable Performance Period ends). The Award shall not be deemed earned, and the Award Date shall not occur, unless and until the Administrator determines the extent, if any to which the Award has been earned following completion of the applicable Performance Period (unless the Administrator determines otherwise). The Company shall give notice to the Participant after each Performance Period regarding whether the Award applicable to that Performance Period has been granted and the number of Shares subject to the Award.</w:t>
      </w:r>
    </w:p>
    <w:p>
      <w:pPr>
        <w:spacing w:after="0" w:line="176" w:lineRule="exact"/>
        <w:rPr>
          <w:rFonts w:ascii="Arial" w:cs="Arial" w:eastAsia="Arial" w:hAnsi="Arial"/>
          <w:sz w:val="18"/>
          <w:szCs w:val="18"/>
          <w:color w:val="auto"/>
        </w:rPr>
      </w:pPr>
    </w:p>
    <w:p>
      <w:pPr>
        <w:jc w:val="both"/>
        <w:ind w:firstLine="656"/>
        <w:spacing w:after="0" w:line="244" w:lineRule="auto"/>
        <w:tabs>
          <w:tab w:leader="none" w:pos="99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The Participant or his or her legal representatives, legatees or distributees shall not be deemed to be the holder of any Shares subject to the Award and shall not have any dividend rights (except as otherwise provided in Section 5 of Schedule A), voting rights or other rights as a stockholder unless and until (and then only to the extent that) the Award has been earned and vested and certificates for such Shares have been issued and delivered to him, her or them (or, in the case of uncertificated shares, other written evidence of ownership in accordance with Applicable Law shall have been provided).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Updated February 2016</w:t>
      </w:r>
    </w:p>
    <w:p>
      <w:pPr>
        <w:sectPr>
          <w:pgSz w:w="11900" w:h="16838" w:orient="portrait"/>
          <w:cols w:equalWidth="0" w:num="1">
            <w:col w:w="11420"/>
          </w:cols>
          <w:pgMar w:left="240" w:top="366" w:right="239" w:bottom="1440" w:gutter="0" w:footer="0" w:header="0"/>
        </w:sectPr>
      </w:pPr>
    </w:p>
    <w:bookmarkStart w:id="200" w:name="page201"/>
    <w:bookmarkEnd w:id="200"/>
    <w:p>
      <w:pPr>
        <w:jc w:val="both"/>
        <w:ind w:firstLine="656"/>
        <w:spacing w:after="0" w:line="270" w:lineRule="auto"/>
        <w:tabs>
          <w:tab w:leader="none" w:pos="105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Vesting and Earning of Award</w:t>
      </w:r>
      <w:r>
        <w:rPr>
          <w:rFonts w:ascii="Arial" w:cs="Arial" w:eastAsia="Arial" w:hAnsi="Arial"/>
          <w:sz w:val="18"/>
          <w:szCs w:val="18"/>
          <w:color w:val="auto"/>
        </w:rPr>
        <w:t xml:space="preserve">. Subject to the terms of the Plan and this Agreement, the Shares subject to the Award shall be deemed earned and vested, and such Shares shall be distributable as provided in Section 8 herein, upon such date or dates, and subject to such conditions, as are described in this Agreement, including Section 3 of Schedule A. Without limiting the effect of the foregoing, the Shares subject to the Award may vest and be earned in installments over a period of time, if so provided in Schedule A. </w:t>
      </w:r>
      <w:r>
        <w:rPr>
          <w:rFonts w:ascii="Arial" w:cs="Arial" w:eastAsia="Arial" w:hAnsi="Arial"/>
          <w:sz w:val="18"/>
          <w:szCs w:val="18"/>
          <w:u w:val="single" w:color="auto"/>
          <w:color w:val="auto"/>
        </w:rPr>
        <w:t>The Participant expressly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acknowledges that the Award shall vest and be earned only upon such terms and conditions as are provided in this Agreement (including Schedule A and Schedule B) and otherwise in accordance with the terms of the Plan</w:t>
      </w:r>
      <w:r>
        <w:rPr>
          <w:rFonts w:ascii="Arial" w:cs="Arial" w:eastAsia="Arial" w:hAnsi="Arial"/>
          <w:sz w:val="18"/>
          <w:szCs w:val="18"/>
          <w:color w:val="auto"/>
        </w:rPr>
        <w:t>. Notwithstanding the foregoing, the Participant shall be entitled to the greater of the benefits provided in this Agreement and any Change in Control Agreement, Employment Agreement or any other similar agreement between the Participant and the Company with respect to the terms governing the earning and vesting of the Award. Without limiting the effect of the foregoing, the Participant understands and agrees that the Administrator may delay the vesting of the Award (or portion thereof) and the issuance of the underlying Shares in order to comply with Applicable Law or applicable policies of the Company implemented to ensure compliance with such laws (including but not limited to insider trading provisions and the Company’s insider trading policy); provided, however, that any such delay in vesting of the Award or issuance of Shares shall not apply to any Shares subject to an effective Rule 10b5-1 trading plan. The Administrator has sole authority to determine whether and to what degree the Award has been earned and vested and to interpret the terms and conditions of this Agreement and the Plan.</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03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Forfeiture of Award</w:t>
      </w:r>
      <w:r>
        <w:rPr>
          <w:rFonts w:ascii="Arial" w:cs="Arial" w:eastAsia="Arial" w:hAnsi="Arial"/>
          <w:sz w:val="18"/>
          <w:szCs w:val="18"/>
          <w:color w:val="auto"/>
        </w:rPr>
        <w:t>. Except as may be otherwise provided in the Plan or this Agreement (including but not limited to Schedule A), in the event that the employment or service of the Participant is terminated for any reason (whether by the Company or an Affiliate or by the Participant, whether voluntary or involuntary, and regardless of the reason for such termination and whether or not found to be invalid or in breach of employment laws in the jurisdiction where the Participant is rendering services or the terms of his or her employment or service agreement, if any) and all or part of the Award has not been earned and vested as of the Participant’s Termination Date pursuant to the terms of this Agreement, then the Award, to the extent not earned and vested as of the Participant’s Termination Date, shall be forfeited immediately upon such termination, and the Participant shall have no further rights with respect to the Award or the Shares underlying that portion of the Award that has not yet been earned and vested. The Participant expressly acknowledges and agrees that the termination of his or her employment or service shall (except as may otherwise be provided in this Agreement or the Plan) result in forfeiture of the Award and the Shares to the extent the Award has not been earned and vested as of his or her Termination Date.</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For purposes of the Award (and except as otherwise required under Code Section 409A), the Termination Date occurs on the date the Participant is no longer actively providing services to the Company or any Affiliate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the Participant’s period of service would not include any contractual notice period or any period of “garden leave” or similar period mandated under employment laws in the jurisdiction where the Participant is employed or providing services, or the terms of his or her employment or service agreement, if any); and the Administrator shall have the exclusive discretion to determine when the Participant is no longer actively providing services for purposes of the Award (including whether the Participant may still be considered to be providing services while on a leave of absence).</w:t>
      </w:r>
    </w:p>
    <w:p>
      <w:pPr>
        <w:spacing w:after="0" w:line="234" w:lineRule="exact"/>
        <w:rPr>
          <w:sz w:val="20"/>
          <w:szCs w:val="20"/>
          <w:color w:val="auto"/>
        </w:rPr>
      </w:pPr>
    </w:p>
    <w:p>
      <w:pPr>
        <w:jc w:val="both"/>
        <w:ind w:right="20" w:firstLine="656"/>
        <w:spacing w:after="0" w:line="263" w:lineRule="auto"/>
        <w:tabs>
          <w:tab w:leader="none" w:pos="1004"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Settlement of Award</w:t>
      </w:r>
      <w:r>
        <w:rPr>
          <w:rFonts w:ascii="Arial" w:cs="Arial" w:eastAsia="Arial" w:hAnsi="Arial"/>
          <w:sz w:val="19"/>
          <w:szCs w:val="19"/>
          <w:color w:val="auto"/>
        </w:rPr>
        <w:t>. The Award, if earned and vested in accordance with the terms of this Agreement, shall be payable in whole Shares. The total number of Shares that may be acquired upon vesting of the Award (or portion thereof) shall be rounded down to the nearest whole share. A certificate or certificates representing the Shares subject to the Award (or portion thereof) shall be issued in the name of the Participant or his or her beneficiary (or, in the case of uncertificated shares, other written evidence of ownership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201" w:name="page202"/>
    <w:bookmarkEnd w:id="201"/>
    <w:p>
      <w:pPr>
        <w:jc w:val="both"/>
        <w:spacing w:after="0" w:line="276" w:lineRule="auto"/>
        <w:rPr>
          <w:sz w:val="20"/>
          <w:szCs w:val="20"/>
          <w:color w:val="auto"/>
        </w:rPr>
      </w:pPr>
      <w:r>
        <w:rPr>
          <w:rFonts w:ascii="Arial" w:cs="Arial" w:eastAsia="Arial" w:hAnsi="Arial"/>
          <w:sz w:val="18"/>
          <w:szCs w:val="18"/>
          <w:color w:val="auto"/>
        </w:rPr>
        <w:t>accordance with Applicable Law shall be provided) as soon as practicable after, and only to the extent that, the Award (or portion thereof) has vested and Shares are distributable. Shares or any other benefit subject to the Award shall, upon vesting of the Award (and except as otherwise provided in Sections 3(b)(iv) and 3(b)(v) of Schedule A), be issued and distributed to the Participant (or his or her beneficiary) no later than the later of (a) the fifteenth (15th) day of the third month following the Participant’s first taxable year in which the amount is no longer subject to a substantial risk of forfeiture, or (b) the fifteenth (15th) day of the third month following the end of the Company’s first taxable year in which the amount is no longer subject to a substantial risk of forfeiture, or otherwise in accordance with Code Section 409A.</w:t>
      </w:r>
    </w:p>
    <w:p>
      <w:pPr>
        <w:spacing w:after="0" w:line="165" w:lineRule="exact"/>
        <w:rPr>
          <w:sz w:val="20"/>
          <w:szCs w:val="20"/>
          <w:color w:val="auto"/>
        </w:rPr>
      </w:pPr>
    </w:p>
    <w:p>
      <w:pPr>
        <w:jc w:val="both"/>
        <w:ind w:firstLine="656"/>
        <w:spacing w:after="0" w:line="243" w:lineRule="auto"/>
        <w:tabs>
          <w:tab w:leader="none" w:pos="99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No Right of Continued Employment or Service</w:t>
      </w:r>
      <w:r>
        <w:rPr>
          <w:rFonts w:ascii="Arial" w:cs="Arial" w:eastAsia="Arial" w:hAnsi="Arial"/>
          <w:sz w:val="20"/>
          <w:szCs w:val="20"/>
          <w:color w:val="auto"/>
        </w:rPr>
        <w:t>. Nothing contained in this Agreement or the Plan shall confer upon the Participant any right to continue in the employment or service of the Company or an Affiliate or to interfere in any way with the right of the Company or an Affiliate to terminate the Participant’s employment or service at any time. Except as otherwise expressly provided in the Plan and this Agreement (including but not limited to Schedule A), all rights of the Participant under the Plan with respect to the unearned or unvested portion of his or her Award shall terminate upon the Termination Date. The grant of any Award, if earned, does not create any obligation to grant further awards.</w:t>
      </w:r>
    </w:p>
    <w:p>
      <w:pPr>
        <w:spacing w:after="0" w:line="196" w:lineRule="exact"/>
        <w:rPr>
          <w:rFonts w:ascii="Arial" w:cs="Arial" w:eastAsia="Arial" w:hAnsi="Arial"/>
          <w:sz w:val="20"/>
          <w:szCs w:val="20"/>
          <w:color w:val="auto"/>
        </w:rPr>
      </w:pPr>
    </w:p>
    <w:p>
      <w:pPr>
        <w:jc w:val="both"/>
        <w:ind w:firstLine="656"/>
        <w:spacing w:after="0" w:line="263" w:lineRule="auto"/>
        <w:tabs>
          <w:tab w:leader="none" w:pos="1265"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Nontransferability of Award and Shares</w:t>
      </w:r>
      <w:r>
        <w:rPr>
          <w:rFonts w:ascii="Arial" w:cs="Arial" w:eastAsia="Arial" w:hAnsi="Arial"/>
          <w:sz w:val="19"/>
          <w:szCs w:val="19"/>
          <w:color w:val="auto"/>
        </w:rPr>
        <w:t>. The Award shall not be transferable (including by sale, assignment, pledge or hypothecation) other than by will or the laws of descent and distribution. The designation of a beneficiary in accordance with the Plan (to the extent permitted by the Administrator) does not constitute a transfer. The Participant shall not sell, transfer, assign, pledge or otherwise encumber the Shares subject to the Award until such Shares have been issued and delivered to the Participant.</w:t>
      </w:r>
    </w:p>
    <w:p>
      <w:pPr>
        <w:spacing w:after="0" w:line="185" w:lineRule="exact"/>
        <w:rPr>
          <w:rFonts w:ascii="Arial" w:cs="Arial" w:eastAsia="Arial" w:hAnsi="Arial"/>
          <w:sz w:val="19"/>
          <w:szCs w:val="19"/>
          <w:color w:val="auto"/>
        </w:rPr>
      </w:pPr>
    </w:p>
    <w:p>
      <w:pPr>
        <w:ind w:left="1080" w:hanging="424"/>
        <w:spacing w:after="0"/>
        <w:tabs>
          <w:tab w:leader="none" w:pos="108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Withholding; Tax Consequences</w:t>
      </w:r>
      <w:r>
        <w:rPr>
          <w:rFonts w:ascii="Arial" w:cs="Arial" w:eastAsia="Arial" w:hAnsi="Arial"/>
          <w:sz w:val="21"/>
          <w:szCs w:val="21"/>
          <w:color w:val="auto"/>
        </w:rPr>
        <w:t>.</w:t>
      </w:r>
    </w:p>
    <w:p>
      <w:pPr>
        <w:spacing w:after="0" w:line="235" w:lineRule="exact"/>
        <w:rPr>
          <w:rFonts w:ascii="Arial" w:cs="Arial" w:eastAsia="Arial" w:hAnsi="Arial"/>
          <w:sz w:val="20"/>
          <w:szCs w:val="20"/>
          <w:color w:val="auto"/>
        </w:rPr>
      </w:pPr>
    </w:p>
    <w:p>
      <w:pPr>
        <w:jc w:val="both"/>
        <w:ind w:left="660" w:firstLine="645"/>
        <w:spacing w:after="0" w:line="243" w:lineRule="auto"/>
        <w:tabs>
          <w:tab w:leader="none" w:pos="1708"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The Participant acknowledges that, regardless of any action taken by the Company or, if different, his or her employer (the “Employer”), the ultimate liability for all income tax, social insurance, payroll tax, fringe benefits tax, payment on account or other tax-related items related to the Participant’s participation in the Plan and legally applicable to the Participant (“Tax-Related Items”) is and remains the Participant’s responsibility and may exceed the amount actually withheld by the Company or the Employer.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93" w:lineRule="exact"/>
        <w:rPr>
          <w:rFonts w:ascii="Arial" w:cs="Arial" w:eastAsia="Arial" w:hAnsi="Arial"/>
          <w:sz w:val="20"/>
          <w:szCs w:val="20"/>
          <w:color w:val="auto"/>
        </w:rPr>
      </w:pPr>
    </w:p>
    <w:p>
      <w:pPr>
        <w:jc w:val="both"/>
        <w:ind w:left="660" w:firstLine="645"/>
        <w:spacing w:after="0" w:line="271" w:lineRule="auto"/>
        <w:tabs>
          <w:tab w:leader="none" w:pos="193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the Participant agrees to make adequate arrangements satisfactory to the Company and/or the Employer to satisfy all Tax-Related Items. In this regard, the Participant authorizes the Company or its respective agents to satisfy their withholding obligations with regard to all Tax-Related Items by withholding Shares to be issued upon settlement of the Award. The Company may withhold or account for Tax-Related Items by considering minimum statutory withholding rates or other applicable withholding rates. For tax purposes, the Participant is deemed to have been issued the full number of Shares subject to the vested portion of the Award, notwithstanding that a number of the Shares are held back solely for the purpose of paying the Tax-Related Items. In the event that the Company determines that withholding Shares is problematic under applicable local laws or has materially adverse accounting consequences, by his or her acceptance of the Award, the Participant authorizes the Company and any brokerage firm determined acceptable to the Company to sell, on his or her behalf, a whole number of Shares from those Shares issuable to the Participant as the Company determines to be appropriate to generate cash proceeds sufficient to satisfy the obligation for Tax-Related Items. If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202" w:name="page203"/>
    <w:bookmarkEnd w:id="202"/>
    <w:p>
      <w:pPr>
        <w:jc w:val="both"/>
        <w:ind w:left="660"/>
        <w:spacing w:after="0" w:line="243" w:lineRule="auto"/>
        <w:rPr>
          <w:sz w:val="20"/>
          <w:szCs w:val="20"/>
          <w:color w:val="auto"/>
        </w:rPr>
      </w:pPr>
      <w:r>
        <w:rPr>
          <w:rFonts w:ascii="Arial" w:cs="Arial" w:eastAsia="Arial" w:hAnsi="Arial"/>
          <w:sz w:val="20"/>
          <w:szCs w:val="20"/>
          <w:color w:val="auto"/>
        </w:rPr>
        <w:t>withholding is performed from proceeds from the sale of Shares, the Company may withhold for Tax-Related Items by considering maximum applicable rates, in which case the Participant may receive a refund of any over-withheld amount in cash and will have no entitlement to the Shares equivalent. Alternatively, the Company or the Employer may (subject to any Code Section 409A considerations) satisfy their withholding obligations for Tax-Related Items by withholding from the Participant’s wages or other cash compensation. The Company may refuse to issue or deliver the Shares or the proceeds of the sale of Shares if the Participant fails to comply with his or her obligations in connection with the Tax-Related Items.</w:t>
      </w:r>
    </w:p>
    <w:p>
      <w:pPr>
        <w:spacing w:after="0" w:line="197" w:lineRule="exact"/>
        <w:rPr>
          <w:sz w:val="20"/>
          <w:szCs w:val="20"/>
          <w:color w:val="auto"/>
        </w:rPr>
      </w:pPr>
    </w:p>
    <w:p>
      <w:pPr>
        <w:jc w:val="both"/>
        <w:ind w:left="660" w:firstLine="645"/>
        <w:spacing w:after="0" w:line="273" w:lineRule="auto"/>
        <w:tabs>
          <w:tab w:leader="none" w:pos="174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Participant acknowledges that the Company and/or the Employer have made no warranties or representations to the Participant with respect to the Tax-Related Items (including but not limited to income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grant or vesting of the Award and/or the acquisition or disposition of the Shares subject to the Award and the receipt of any dividends,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169" w:lineRule="exact"/>
        <w:rPr>
          <w:rFonts w:ascii="Arial" w:cs="Arial" w:eastAsia="Arial" w:hAnsi="Arial"/>
          <w:sz w:val="18"/>
          <w:szCs w:val="18"/>
          <w:color w:val="auto"/>
        </w:rPr>
      </w:pPr>
    </w:p>
    <w:p>
      <w:pPr>
        <w:ind w:left="1160" w:hanging="504"/>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contingent right to receive the Award, the Participant acknowledges, understands and agrees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227" w:lineRule="exact"/>
        <w:rPr>
          <w:sz w:val="20"/>
          <w:szCs w:val="20"/>
          <w:color w:val="auto"/>
        </w:rPr>
      </w:pPr>
    </w:p>
    <w:p>
      <w:pPr>
        <w:ind w:left="660" w:firstLine="645"/>
        <w:spacing w:after="0" w:line="265" w:lineRule="auto"/>
        <w:tabs>
          <w:tab w:leader="none" w:pos="1850" w:val="left"/>
        </w:tabs>
        <w:numPr>
          <w:ilvl w:val="0"/>
          <w:numId w:val="164"/>
        </w:numPr>
        <w:rPr>
          <w:rFonts w:ascii="Arial" w:cs="Arial" w:eastAsia="Arial" w:hAnsi="Arial"/>
          <w:sz w:val="22"/>
          <w:szCs w:val="22"/>
          <w:color w:val="auto"/>
        </w:rPr>
      </w:pPr>
      <w:r>
        <w:rPr>
          <w:rFonts w:ascii="Arial" w:cs="Arial" w:eastAsia="Arial" w:hAnsi="Arial"/>
          <w:sz w:val="20"/>
          <w:szCs w:val="20"/>
          <w:color w:val="auto"/>
        </w:rPr>
        <w:t>the Plan is established voluntarily by the Company, is discretionary in nature, and may be amended, suspended or terminated by the Company at any time, to the extent permitted by the Plan;</w:t>
      </w:r>
    </w:p>
    <w:p>
      <w:pPr>
        <w:spacing w:after="0" w:line="209" w:lineRule="exact"/>
        <w:rPr>
          <w:rFonts w:ascii="Arial" w:cs="Arial" w:eastAsia="Arial" w:hAnsi="Arial"/>
          <w:sz w:val="22"/>
          <w:szCs w:val="22"/>
          <w:color w:val="auto"/>
        </w:rPr>
      </w:pPr>
    </w:p>
    <w:p>
      <w:pPr>
        <w:ind w:left="1820" w:hanging="515"/>
        <w:spacing w:after="0"/>
        <w:tabs>
          <w:tab w:leader="none" w:pos="1820" w:val="left"/>
        </w:tabs>
        <w:numPr>
          <w:ilvl w:val="0"/>
          <w:numId w:val="164"/>
        </w:numPr>
        <w:rPr>
          <w:rFonts w:ascii="Arial" w:cs="Arial" w:eastAsia="Arial" w:hAnsi="Arial"/>
          <w:sz w:val="19"/>
          <w:szCs w:val="19"/>
          <w:color w:val="auto"/>
        </w:rPr>
      </w:pPr>
      <w:r>
        <w:rPr>
          <w:rFonts w:ascii="Arial" w:cs="Arial" w:eastAsia="Arial" w:hAnsi="Arial"/>
          <w:sz w:val="18"/>
          <w:szCs w:val="18"/>
          <w:color w:val="auto"/>
        </w:rPr>
        <w:t>all decisions with respect to future equity-based awards to the Participant, if any, will be at the sole discretion of the</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253" w:lineRule="exact"/>
        <w:rPr>
          <w:rFonts w:ascii="Arial" w:cs="Arial" w:eastAsia="Arial" w:hAnsi="Arial"/>
          <w:sz w:val="19"/>
          <w:szCs w:val="19"/>
          <w:color w:val="auto"/>
        </w:rPr>
      </w:pPr>
    </w:p>
    <w:p>
      <w:pPr>
        <w:ind w:left="1720" w:hanging="415"/>
        <w:spacing w:after="0"/>
        <w:tabs>
          <w:tab w:leader="none" w:pos="1720" w:val="left"/>
        </w:tabs>
        <w:numPr>
          <w:ilvl w:val="0"/>
          <w:numId w:val="164"/>
        </w:numPr>
        <w:rPr>
          <w:rFonts w:ascii="Arial" w:cs="Arial" w:eastAsia="Arial" w:hAnsi="Arial"/>
          <w:sz w:val="22"/>
          <w:szCs w:val="22"/>
          <w:color w:val="auto"/>
        </w:rPr>
      </w:pPr>
      <w:r>
        <w:rPr>
          <w:rFonts w:ascii="Arial" w:cs="Arial" w:eastAsia="Arial" w:hAnsi="Arial"/>
          <w:sz w:val="20"/>
          <w:szCs w:val="20"/>
          <w:color w:val="auto"/>
        </w:rPr>
        <w:t>the Participant’s participation in the Plan is voluntary;</w:t>
      </w:r>
    </w:p>
    <w:p>
      <w:pPr>
        <w:spacing w:after="0" w:line="235" w:lineRule="exact"/>
        <w:rPr>
          <w:rFonts w:ascii="Arial" w:cs="Arial" w:eastAsia="Arial" w:hAnsi="Arial"/>
          <w:sz w:val="22"/>
          <w:szCs w:val="22"/>
          <w:color w:val="auto"/>
        </w:rPr>
      </w:pPr>
    </w:p>
    <w:p>
      <w:pPr>
        <w:ind w:left="660" w:firstLine="645"/>
        <w:spacing w:after="0" w:line="265" w:lineRule="auto"/>
        <w:tabs>
          <w:tab w:leader="none" w:pos="1754" w:val="left"/>
        </w:tabs>
        <w:numPr>
          <w:ilvl w:val="0"/>
          <w:numId w:val="164"/>
        </w:numPr>
        <w:rPr>
          <w:rFonts w:ascii="Arial" w:cs="Arial" w:eastAsia="Arial" w:hAnsi="Arial"/>
          <w:sz w:val="22"/>
          <w:szCs w:val="22"/>
          <w:color w:val="auto"/>
        </w:rPr>
      </w:pPr>
      <w:r>
        <w:rPr>
          <w:rFonts w:ascii="Arial" w:cs="Arial" w:eastAsia="Arial" w:hAnsi="Arial"/>
          <w:sz w:val="20"/>
          <w:szCs w:val="20"/>
          <w:color w:val="auto"/>
        </w:rPr>
        <w:t>the Award and any Shares acquired under the Plan, and the value of and income attributable to the same, are not intended to replace any pension rights or compensation;</w:t>
      </w:r>
    </w:p>
    <w:p>
      <w:pPr>
        <w:spacing w:after="0" w:line="209" w:lineRule="exact"/>
        <w:rPr>
          <w:rFonts w:ascii="Arial" w:cs="Arial" w:eastAsia="Arial" w:hAnsi="Arial"/>
          <w:sz w:val="22"/>
          <w:szCs w:val="22"/>
          <w:color w:val="auto"/>
        </w:rPr>
      </w:pPr>
    </w:p>
    <w:p>
      <w:pPr>
        <w:jc w:val="both"/>
        <w:ind w:left="660" w:firstLine="645"/>
        <w:spacing w:after="0" w:line="265" w:lineRule="auto"/>
        <w:tabs>
          <w:tab w:leader="none" w:pos="1809" w:val="left"/>
        </w:tabs>
        <w:numPr>
          <w:ilvl w:val="0"/>
          <w:numId w:val="164"/>
        </w:numPr>
        <w:rPr>
          <w:rFonts w:ascii="Arial" w:cs="Arial" w:eastAsia="Arial" w:hAnsi="Arial"/>
          <w:sz w:val="22"/>
          <w:szCs w:val="22"/>
          <w:color w:val="auto"/>
        </w:rPr>
      </w:pPr>
      <w:r>
        <w:rPr>
          <w:rFonts w:ascii="Arial" w:cs="Arial" w:eastAsia="Arial" w:hAnsi="Arial"/>
          <w:sz w:val="20"/>
          <w:szCs w:val="20"/>
          <w:color w:val="auto"/>
        </w:rPr>
        <w:t>unless otherwise agreed with the Company, the Award and any Shares acquired under the Plan, and the value of and income attributable to the same, will not be granted as consideration for, or in connection with, any service the Participant may provide as a director of any Affiliate;</w:t>
      </w:r>
    </w:p>
    <w:p>
      <w:pPr>
        <w:spacing w:after="0" w:line="212" w:lineRule="exact"/>
        <w:rPr>
          <w:rFonts w:ascii="Arial" w:cs="Arial" w:eastAsia="Arial" w:hAnsi="Arial"/>
          <w:sz w:val="22"/>
          <w:szCs w:val="22"/>
          <w:color w:val="auto"/>
        </w:rPr>
      </w:pPr>
    </w:p>
    <w:p>
      <w:pPr>
        <w:jc w:val="both"/>
        <w:ind w:left="660" w:firstLine="645"/>
        <w:spacing w:after="0" w:line="313" w:lineRule="auto"/>
        <w:tabs>
          <w:tab w:leader="none" w:pos="1745" w:val="left"/>
        </w:tabs>
        <w:numPr>
          <w:ilvl w:val="0"/>
          <w:numId w:val="164"/>
        </w:numPr>
        <w:rPr>
          <w:rFonts w:ascii="Arial" w:cs="Arial" w:eastAsia="Arial" w:hAnsi="Arial"/>
          <w:sz w:val="19"/>
          <w:szCs w:val="19"/>
          <w:color w:val="auto"/>
        </w:rPr>
      </w:pPr>
      <w:r>
        <w:rPr>
          <w:rFonts w:ascii="Arial" w:cs="Arial" w:eastAsia="Arial" w:hAnsi="Arial"/>
          <w:sz w:val="18"/>
          <w:szCs w:val="18"/>
          <w:color w:val="auto"/>
        </w:rPr>
        <w:t>the Award and any Shares acquired under the Plan, and the value of and income attributable to the same, are not part of normal or expected compensation or salary for purposes of calculating any severance, resignation, termination, redundancy, end of service payments, bonuses, long-service awards, pension or retirement or welfare benefits or similar payments;</w:t>
      </w:r>
    </w:p>
    <w:p>
      <w:pPr>
        <w:spacing w:after="0" w:line="172" w:lineRule="exact"/>
        <w:rPr>
          <w:rFonts w:ascii="Arial" w:cs="Arial" w:eastAsia="Arial" w:hAnsi="Arial"/>
          <w:sz w:val="19"/>
          <w:szCs w:val="19"/>
          <w:color w:val="auto"/>
        </w:rPr>
      </w:pPr>
    </w:p>
    <w:p>
      <w:pPr>
        <w:ind w:left="1740" w:hanging="435"/>
        <w:spacing w:after="0"/>
        <w:tabs>
          <w:tab w:leader="none" w:pos="1740" w:val="left"/>
        </w:tabs>
        <w:numPr>
          <w:ilvl w:val="0"/>
          <w:numId w:val="164"/>
        </w:numPr>
        <w:rPr>
          <w:rFonts w:ascii="Arial" w:cs="Arial" w:eastAsia="Arial" w:hAnsi="Arial"/>
          <w:sz w:val="22"/>
          <w:szCs w:val="22"/>
          <w:color w:val="auto"/>
        </w:rPr>
      </w:pPr>
      <w:r>
        <w:rPr>
          <w:rFonts w:ascii="Arial" w:cs="Arial" w:eastAsia="Arial" w:hAnsi="Arial"/>
          <w:sz w:val="20"/>
          <w:szCs w:val="20"/>
          <w:color w:val="auto"/>
        </w:rPr>
        <w:t>the future value of the Shares underlying the Award is unknown and cannot be predicted;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203" w:name="page204"/>
    <w:bookmarkEnd w:id="203"/>
    <w:p>
      <w:pPr>
        <w:jc w:val="both"/>
        <w:ind w:left="660" w:firstLine="645"/>
        <w:spacing w:after="0" w:line="265" w:lineRule="auto"/>
        <w:tabs>
          <w:tab w:leader="none" w:pos="1862" w:val="left"/>
        </w:tabs>
        <w:numPr>
          <w:ilvl w:val="1"/>
          <w:numId w:val="165"/>
        </w:numPr>
        <w:rPr>
          <w:rFonts w:ascii="Arial" w:cs="Arial" w:eastAsia="Arial" w:hAnsi="Arial"/>
          <w:sz w:val="22"/>
          <w:szCs w:val="22"/>
          <w:color w:val="auto"/>
        </w:rPr>
      </w:pPr>
      <w:r>
        <w:rPr>
          <w:rFonts w:ascii="Arial" w:cs="Arial" w:eastAsia="Arial" w:hAnsi="Arial"/>
          <w:sz w:val="20"/>
          <w:szCs w:val="20"/>
          <w:color w:val="auto"/>
        </w:rPr>
        <w:t>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Common Stock;</w:t>
      </w:r>
    </w:p>
    <w:p>
      <w:pPr>
        <w:spacing w:after="0" w:line="212" w:lineRule="exact"/>
        <w:rPr>
          <w:rFonts w:ascii="Arial" w:cs="Arial" w:eastAsia="Arial" w:hAnsi="Arial"/>
          <w:sz w:val="22"/>
          <w:szCs w:val="22"/>
          <w:color w:val="auto"/>
        </w:rPr>
      </w:pPr>
    </w:p>
    <w:p>
      <w:pPr>
        <w:jc w:val="both"/>
        <w:ind w:left="660" w:firstLine="645"/>
        <w:spacing w:after="0" w:line="266" w:lineRule="auto"/>
        <w:tabs>
          <w:tab w:leader="none" w:pos="1868" w:val="left"/>
        </w:tabs>
        <w:numPr>
          <w:ilvl w:val="1"/>
          <w:numId w:val="165"/>
        </w:numPr>
        <w:rPr>
          <w:rFonts w:ascii="Arial" w:cs="Arial" w:eastAsia="Arial" w:hAnsi="Arial"/>
          <w:sz w:val="22"/>
          <w:szCs w:val="22"/>
          <w:color w:val="auto"/>
        </w:rPr>
      </w:pPr>
      <w:r>
        <w:rPr>
          <w:rFonts w:ascii="Arial" w:cs="Arial" w:eastAsia="Arial" w:hAnsi="Arial"/>
          <w:sz w:val="20"/>
          <w:szCs w:val="20"/>
          <w:color w:val="auto"/>
        </w:rPr>
        <w:t>no claim or entitlement to compensation or damages shall arise from forfeiture of the Award resulting from the Participant’s termination of employment or service (for any reason whatsoever whether or not later found to be invalid or in breach of employment laws in the jurisdiction where the Participant is employed or the terms of his or her employment or service agreement, if any); and</w:t>
      </w:r>
    </w:p>
    <w:p>
      <w:pPr>
        <w:spacing w:after="0" w:line="208" w:lineRule="exact"/>
        <w:rPr>
          <w:rFonts w:ascii="Arial" w:cs="Arial" w:eastAsia="Arial" w:hAnsi="Arial"/>
          <w:sz w:val="22"/>
          <w:szCs w:val="22"/>
          <w:color w:val="auto"/>
        </w:rPr>
      </w:pPr>
    </w:p>
    <w:p>
      <w:pPr>
        <w:ind w:left="1680" w:hanging="375"/>
        <w:spacing w:after="0"/>
        <w:tabs>
          <w:tab w:leader="none" w:pos="1680" w:val="left"/>
        </w:tabs>
        <w:numPr>
          <w:ilvl w:val="1"/>
          <w:numId w:val="165"/>
        </w:numPr>
        <w:rPr>
          <w:rFonts w:ascii="Arial" w:cs="Arial" w:eastAsia="Arial" w:hAnsi="Arial"/>
          <w:sz w:val="22"/>
          <w:szCs w:val="22"/>
          <w:color w:val="auto"/>
        </w:rPr>
      </w:pPr>
      <w:r>
        <w:rPr>
          <w:rFonts w:ascii="Arial" w:cs="Arial" w:eastAsia="Arial" w:hAnsi="Arial"/>
          <w:sz w:val="20"/>
          <w:szCs w:val="20"/>
          <w:color w:val="auto"/>
        </w:rPr>
        <w:t>if the Participant is employed or providing services outside of the U.S.:</w:t>
      </w:r>
    </w:p>
    <w:p>
      <w:pPr>
        <w:spacing w:after="0" w:line="208" w:lineRule="exact"/>
        <w:rPr>
          <w:rFonts w:ascii="Arial" w:cs="Arial" w:eastAsia="Arial" w:hAnsi="Arial"/>
          <w:sz w:val="22"/>
          <w:szCs w:val="22"/>
          <w:color w:val="auto"/>
        </w:rPr>
      </w:pPr>
    </w:p>
    <w:p>
      <w:pPr>
        <w:jc w:val="both"/>
        <w:ind w:firstLine="1953"/>
        <w:spacing w:after="0" w:line="250" w:lineRule="auto"/>
        <w:tabs>
          <w:tab w:leader="none" w:pos="2339" w:val="left"/>
        </w:tabs>
        <w:numPr>
          <w:ilvl w:val="2"/>
          <w:numId w:val="165"/>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part of normal or expected compensation or salary for any purpose, and in no event should be considered as compensation for, or relating in any way to, past services to the Employer, the Company or any other Affiliate; and</w:t>
      </w:r>
    </w:p>
    <w:p>
      <w:pPr>
        <w:spacing w:after="0" w:line="186" w:lineRule="exact"/>
        <w:rPr>
          <w:rFonts w:ascii="Arial" w:cs="Arial" w:eastAsia="Arial" w:hAnsi="Arial"/>
          <w:sz w:val="20"/>
          <w:szCs w:val="20"/>
          <w:color w:val="auto"/>
        </w:rPr>
      </w:pPr>
    </w:p>
    <w:p>
      <w:pPr>
        <w:jc w:val="both"/>
        <w:ind w:firstLine="1953"/>
        <w:spacing w:after="0" w:line="250" w:lineRule="auto"/>
        <w:tabs>
          <w:tab w:leader="none" w:pos="2542" w:val="left"/>
        </w:tabs>
        <w:numPr>
          <w:ilvl w:val="2"/>
          <w:numId w:val="165"/>
        </w:numPr>
        <w:rPr>
          <w:rFonts w:ascii="Arial" w:cs="Arial" w:eastAsia="Arial" w:hAnsi="Arial"/>
          <w:sz w:val="20"/>
          <w:szCs w:val="20"/>
          <w:color w:val="auto"/>
        </w:rPr>
      </w:pPr>
      <w:r>
        <w:rPr>
          <w:rFonts w:ascii="Arial" w:cs="Arial" w:eastAsia="Arial" w:hAnsi="Arial"/>
          <w:sz w:val="20"/>
          <w:szCs w:val="20"/>
          <w:color w:val="auto"/>
        </w:rPr>
        <w:t>neither the Company, the Employer nor any other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103" w:val="left"/>
        </w:tabs>
        <w:numPr>
          <w:ilvl w:val="0"/>
          <w:numId w:val="16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Privacy</w:t>
      </w:r>
      <w:r>
        <w:rPr>
          <w:rFonts w:ascii="Arial" w:cs="Arial" w:eastAsia="Arial" w:hAnsi="Arial"/>
          <w:sz w:val="20"/>
          <w:szCs w:val="20"/>
          <w:b w:val="1"/>
          <w:bCs w:val="1"/>
          <w:i w:val="1"/>
          <w:iCs w:val="1"/>
          <w:color w:val="auto"/>
        </w:rPr>
        <w:t>. The Participant hereby explicitly and unambiguously consents to the collection, use and transfer, in electronic or other form, of his or her personal data as described in this Agreement and any other Award grant materials by and among, as applicable, the Employer, the Company and any other Affiliate for the exclusive purpose of implementing, administering and managing his or her participation in the Plan.</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the Employer may hold certain personal information about him or her, including, but not limited to, his or her name, home address and telephone number, date of birth, social insurance number or other identification number, salary, nationality, job title, any shares of Common Stock or directorships held in the Company or any Affiliate, details of all Restricted Stock Units or any other entitlement to Shares awarded, canceled, exercised, vested, unvested or outstanding in his or her favor (“Data”), for the exclusive purpose of implementing, administering and managing the Plan.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Participant understands that Data will be transferred to Fidelity Stock Plan Services, LLC (“Fidelity”) or to any other third party assisting in the implementation, administration and management of the Plan. The Participant understands that the recipients of Data may be located in the Participant’s country or elsewhere, and that the recipient’s country may have different data privacy laws and protections than his or her country. The Participant understands that, if he or she resides outside the U.S., the Participant may request a list with the names and addresses of any potential recipients of Data by contacting his or her local Human Resources representative. The Participant authorizes the Company, Fidelity and any other recipients of Data which may assist the Company (presently or in the future) with implementing, administering and managing the Plan to receive, possess, use, retain and transfer Data, in electronic or other form, for the purposes of implementing, administering and managing his or her participation in the Plan, including any requisite transfer of Data as may be required to a broker or other third party with whom the Participant may elect to deposit any Shares purchased upon vesting of the Award. The Participant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93" w:right="239" w:bottom="1440" w:gutter="0" w:footer="0" w:header="0"/>
        </w:sectPr>
      </w:pPr>
    </w:p>
    <w:bookmarkStart w:id="204" w:name="page205"/>
    <w:bookmarkEnd w:id="204"/>
    <w:p>
      <w:pPr>
        <w:jc w:val="both"/>
        <w:spacing w:after="0" w:line="271" w:lineRule="auto"/>
        <w:rPr>
          <w:sz w:val="20"/>
          <w:szCs w:val="20"/>
          <w:color w:val="auto"/>
        </w:rPr>
      </w:pPr>
      <w:r>
        <w:rPr>
          <w:rFonts w:ascii="Arial" w:cs="Arial" w:eastAsia="Arial" w:hAnsi="Arial"/>
          <w:sz w:val="18"/>
          <w:szCs w:val="18"/>
          <w:b w:val="1"/>
          <w:bCs w:val="1"/>
          <w:i w:val="1"/>
          <w:iCs w:val="1"/>
          <w:color w:val="auto"/>
        </w:rPr>
        <w:t>understands that Data will be held only as long as is necessary to implement, administer and manage his or her participation in the Plan. The Participant understands that, if he or she resides outside the U.S., the Participant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the consent, his or her employment status or service and career with the Employer will not be affected solely by such actions of the Participant; the only consequence of refusing or withdrawing the consent is that the Company would not be able to grant Restricted Stock Units or other equity awards to the Participant or administer or maintain such awards. Therefore, the Participant understands that refusing or withdrawing the consent may affect his or her ability to participate in the Plan. For more information on the consequences of his or her refusal to consent or withdrawal of consent, the Participant understands that he or she may contact the local Human Resources representative.</w:t>
      </w:r>
    </w:p>
    <w:p>
      <w:pPr>
        <w:spacing w:after="0" w:line="171" w:lineRule="exact"/>
        <w:rPr>
          <w:sz w:val="20"/>
          <w:szCs w:val="20"/>
          <w:color w:val="auto"/>
        </w:rPr>
      </w:pPr>
    </w:p>
    <w:p>
      <w:pPr>
        <w:jc w:val="both"/>
        <w:ind w:firstLine="656"/>
        <w:spacing w:after="0" w:line="282" w:lineRule="auto"/>
        <w:tabs>
          <w:tab w:leader="none" w:pos="114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61" w:lineRule="exact"/>
        <w:rPr>
          <w:rFonts w:ascii="Arial" w:cs="Arial" w:eastAsia="Arial" w:hAnsi="Arial"/>
          <w:sz w:val="18"/>
          <w:szCs w:val="18"/>
          <w:color w:val="auto"/>
        </w:rPr>
      </w:pPr>
    </w:p>
    <w:p>
      <w:pPr>
        <w:jc w:val="both"/>
        <w:ind w:firstLine="656"/>
        <w:spacing w:after="0" w:line="242" w:lineRule="auto"/>
        <w:tabs>
          <w:tab w:leader="none" w:pos="113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Superseding Agreement; Successors and Assigns</w:t>
      </w:r>
      <w:r>
        <w:rPr>
          <w:rFonts w:ascii="Arial" w:cs="Arial" w:eastAsia="Arial" w:hAnsi="Arial"/>
          <w:sz w:val="20"/>
          <w:szCs w:val="20"/>
          <w:color w:val="auto"/>
        </w:rPr>
        <w:t>. This Agreement supersedes any statements, representations or agreements of the Company with respect to the grant of the Award or any related rights, and the Participant hereby waives any rights or claims related to any such statements, representations or agreements. Except as may be otherwise provided in the Plan or expressly provided in this Agreement,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97" w:lineRule="exact"/>
        <w:rPr>
          <w:rFonts w:ascii="Arial" w:cs="Arial" w:eastAsia="Arial" w:hAnsi="Arial"/>
          <w:sz w:val="20"/>
          <w:szCs w:val="20"/>
          <w:color w:val="auto"/>
        </w:rPr>
      </w:pPr>
    </w:p>
    <w:p>
      <w:pPr>
        <w:jc w:val="both"/>
        <w:ind w:firstLine="656"/>
        <w:spacing w:after="0" w:line="276" w:lineRule="auto"/>
        <w:tabs>
          <w:tab w:leader="none" w:pos="111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spacing w:after="0" w:line="165" w:lineRule="exact"/>
        <w:rPr>
          <w:rFonts w:ascii="Arial" w:cs="Arial" w:eastAsia="Arial" w:hAnsi="Arial"/>
          <w:sz w:val="18"/>
          <w:szCs w:val="18"/>
          <w:color w:val="auto"/>
        </w:rPr>
      </w:pPr>
    </w:p>
    <w:p>
      <w:pPr>
        <w:jc w:val="both"/>
        <w:ind w:firstLine="656"/>
        <w:spacing w:after="0" w:line="260" w:lineRule="auto"/>
        <w:tabs>
          <w:tab w:leader="none" w:pos="1170"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Electronic Delivery and Participation</w:t>
      </w:r>
      <w:r>
        <w:rPr>
          <w:rFonts w:ascii="Arial" w:cs="Arial" w:eastAsia="Arial" w:hAnsi="Arial"/>
          <w:sz w:val="19"/>
          <w:szCs w:val="19"/>
          <w:color w:val="auto"/>
        </w:rPr>
        <w:t>. The Company may, in its sole discretion, decide to deliver to and obtain Participant’s acceptance of any documents related to the Award or future awards of Restricted Stock Units that may be granted under the Plan by electronic means or request the Participant’s consent to participate in the Plan by electronic means. The Participant hereby consents to receive and accept such documents by electronic delivery and, if requested, to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205" w:name="page206"/>
    <w:bookmarkEnd w:id="205"/>
    <w:p>
      <w:pPr>
        <w:jc w:val="both"/>
        <w:ind w:firstLine="656"/>
        <w:spacing w:after="0" w:line="250" w:lineRule="auto"/>
        <w:tabs>
          <w:tab w:leader="none" w:pos="1103"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Participant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20"/>
          <w:szCs w:val="20"/>
          <w:color w:val="auto"/>
        </w:rPr>
      </w:pPr>
    </w:p>
    <w:p>
      <w:pPr>
        <w:jc w:val="both"/>
        <w:ind w:firstLine="656"/>
        <w:spacing w:after="0" w:line="282" w:lineRule="auto"/>
        <w:tabs>
          <w:tab w:leader="none" w:pos="1089"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The Award shall be subject to any special terms and conditions for the Participant’s country set forth in the Appendix, if any. If the Participant relocates to one of the countries included in the Appendix during any Performance Period or the term of the Award, the special terms and conditions for such country shall apply to him or her to the extent the Company determines that the application of such provisions is necessary or advisable for legal or administrative reasons. The Appendix constitutes part of this Agreement.</w:t>
      </w:r>
    </w:p>
    <w:p>
      <w:pPr>
        <w:spacing w:after="0" w:line="161" w:lineRule="exact"/>
        <w:rPr>
          <w:rFonts w:ascii="Arial" w:cs="Arial" w:eastAsia="Arial" w:hAnsi="Arial"/>
          <w:sz w:val="18"/>
          <w:szCs w:val="18"/>
          <w:color w:val="auto"/>
        </w:rPr>
      </w:pPr>
    </w:p>
    <w:p>
      <w:pPr>
        <w:jc w:val="both"/>
        <w:ind w:firstLine="656"/>
        <w:spacing w:after="0" w:line="291" w:lineRule="auto"/>
        <w:tabs>
          <w:tab w:leader="none" w:pos="113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the Shares acquired upon vesting of the Award, to the extent the Company determines it is necessary or advisable for legal or administrative reasons, and to require the Participant to sign any additional agreements or undertakings that may be necessary to accomplish the foregoing.</w:t>
      </w:r>
    </w:p>
    <w:p>
      <w:pPr>
        <w:spacing w:after="0" w:line="151" w:lineRule="exact"/>
        <w:rPr>
          <w:rFonts w:ascii="Arial" w:cs="Arial" w:eastAsia="Arial" w:hAnsi="Arial"/>
          <w:sz w:val="18"/>
          <w:szCs w:val="18"/>
          <w:color w:val="auto"/>
        </w:rPr>
      </w:pPr>
    </w:p>
    <w:p>
      <w:pPr>
        <w:jc w:val="both"/>
        <w:ind w:firstLine="656"/>
        <w:spacing w:after="0" w:line="278" w:lineRule="auto"/>
        <w:tabs>
          <w:tab w:leader="none" w:pos="1103"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The waiver by the Company of a breach of any provision of this Agreement by the Participant shall not operate or be construed as a waiver of any subsequent breach by the Participant.</w:t>
      </w:r>
    </w:p>
    <w:p>
      <w:pPr>
        <w:spacing w:after="0" w:line="165" w:lineRule="exact"/>
        <w:rPr>
          <w:rFonts w:ascii="Arial" w:cs="Arial" w:eastAsia="Arial" w:hAnsi="Arial"/>
          <w:sz w:val="18"/>
          <w:szCs w:val="18"/>
          <w:color w:val="auto"/>
        </w:rPr>
      </w:pPr>
    </w:p>
    <w:p>
      <w:pPr>
        <w:jc w:val="both"/>
        <w:ind w:firstLine="656"/>
        <w:spacing w:after="0" w:line="243" w:lineRule="auto"/>
        <w:tabs>
          <w:tab w:leader="none" w:pos="1076"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196" w:lineRule="exact"/>
        <w:rPr>
          <w:rFonts w:ascii="Arial" w:cs="Arial" w:eastAsia="Arial" w:hAnsi="Arial"/>
          <w:sz w:val="20"/>
          <w:szCs w:val="20"/>
          <w:color w:val="auto"/>
        </w:rPr>
      </w:pPr>
    </w:p>
    <w:p>
      <w:pPr>
        <w:ind w:firstLine="656"/>
        <w:spacing w:after="0" w:line="260" w:lineRule="auto"/>
        <w:tabs>
          <w:tab w:leader="none" w:pos="1076"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76" w:lineRule="exact"/>
        <w:rPr>
          <w:rFonts w:ascii="Arial" w:cs="Arial" w:eastAsia="Arial" w:hAnsi="Arial"/>
          <w:sz w:val="20"/>
          <w:szCs w:val="20"/>
          <w:color w:val="auto"/>
        </w:rPr>
      </w:pPr>
    </w:p>
    <w:p>
      <w:pPr>
        <w:jc w:val="both"/>
        <w:ind w:firstLine="656"/>
        <w:spacing w:after="0" w:line="241" w:lineRule="auto"/>
        <w:tabs>
          <w:tab w:leader="none" w:pos="1130"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Restrictions on Award and Shares</w:t>
      </w:r>
      <w:r>
        <w:rPr>
          <w:rFonts w:ascii="Arial" w:cs="Arial" w:eastAsia="Arial" w:hAnsi="Arial"/>
          <w:sz w:val="20"/>
          <w:szCs w:val="20"/>
          <w:color w:val="auto"/>
        </w:rPr>
        <w:t>. The Company may impose such restrictions on the Award and any Shares or other benefits underlying the Award as it may deem advisable, including without limitation restrictions under the U.S. federal securities laws, the requirements of any stock exchange or similar organization and any blue sky, state or foreign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 The Administrator may delay the right to receive or dispose of Shares (or other benefits) upon settlement of the Award at any time if the Administrator determines that allowing issuance of Shares (or distribution of other benefits) would violate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206" w:name="page207"/>
    <w:bookmarkEnd w:id="206"/>
    <w:p>
      <w:pPr>
        <w:jc w:val="both"/>
        <w:spacing w:after="0" w:line="246" w:lineRule="auto"/>
        <w:rPr>
          <w:sz w:val="20"/>
          <w:szCs w:val="20"/>
          <w:color w:val="auto"/>
        </w:rPr>
      </w:pPr>
      <w:r>
        <w:rPr>
          <w:rFonts w:ascii="Arial" w:cs="Arial" w:eastAsia="Arial" w:hAnsi="Arial"/>
          <w:sz w:val="20"/>
          <w:szCs w:val="20"/>
          <w:color w:val="auto"/>
        </w:rPr>
        <w:t>any federal, state or foreign securities laws or applicable policies of the Company, and the Administrator may provide in its discretion that any time periods to receive Shares (or other benefits) subject to the Award are tolled or extended during a period of suspension or delay (subject to any Code Section 409A considerations); provided, however, that any such delay, suspension, tolling or extension shall not apply to any Shares subject to an effective Rule 10b5-1 trading plan.</w:t>
      </w:r>
    </w:p>
    <w:p>
      <w:pPr>
        <w:spacing w:after="0" w:line="192" w:lineRule="exact"/>
        <w:rPr>
          <w:sz w:val="20"/>
          <w:szCs w:val="20"/>
          <w:color w:val="auto"/>
        </w:rPr>
      </w:pPr>
    </w:p>
    <w:p>
      <w:pPr>
        <w:jc w:val="both"/>
        <w:ind w:firstLine="656"/>
        <w:spacing w:after="0" w:line="291" w:lineRule="auto"/>
        <w:tabs>
          <w:tab w:leader="none" w:pos="1089"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51" w:lineRule="exact"/>
        <w:rPr>
          <w:rFonts w:ascii="Arial" w:cs="Arial" w:eastAsia="Arial" w:hAnsi="Arial"/>
          <w:sz w:val="18"/>
          <w:szCs w:val="18"/>
          <w:color w:val="auto"/>
        </w:rPr>
      </w:pPr>
    </w:p>
    <w:p>
      <w:pPr>
        <w:jc w:val="both"/>
        <w:ind w:firstLine="656"/>
        <w:spacing w:after="0" w:line="244" w:lineRule="auto"/>
        <w:tabs>
          <w:tab w:leader="none" w:pos="1224"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the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194" w:lineRule="exact"/>
        <w:rPr>
          <w:rFonts w:ascii="Arial" w:cs="Arial" w:eastAsia="Arial" w:hAnsi="Arial"/>
          <w:sz w:val="20"/>
          <w:szCs w:val="20"/>
          <w:color w:val="auto"/>
        </w:rPr>
      </w:pPr>
    </w:p>
    <w:p>
      <w:pPr>
        <w:jc w:val="both"/>
        <w:ind w:firstLine="656"/>
        <w:spacing w:after="0" w:line="274" w:lineRule="auto"/>
        <w:tabs>
          <w:tab w:leader="none" w:pos="115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Requirements</w:t>
      </w:r>
      <w:r>
        <w:rPr>
          <w:rFonts w:ascii="Arial" w:cs="Arial" w:eastAsia="Arial" w:hAnsi="Arial"/>
          <w:sz w:val="18"/>
          <w:szCs w:val="18"/>
          <w:color w:val="auto"/>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366" w:right="239" w:bottom="1440" w:gutter="0" w:footer="0" w:header="0"/>
        </w:sectPr>
      </w:pPr>
    </w:p>
    <w:bookmarkStart w:id="207" w:name="page208"/>
    <w:bookmarkEnd w:id="207"/>
    <w:p>
      <w:pPr>
        <w:ind w:right="20"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Effective Date stated herein.</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20"/>
        <w:spacing w:after="0"/>
        <w:tabs>
          <w:tab w:leader="none" w:pos="4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___________________________________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Robert A. Bruggeworth</w:t>
      </w:r>
    </w:p>
    <w:p>
      <w:pPr>
        <w:ind w:left="4540"/>
        <w:spacing w:after="0"/>
        <w:rPr>
          <w:sz w:val="20"/>
          <w:szCs w:val="20"/>
          <w:color w:val="auto"/>
        </w:rPr>
      </w:pPr>
      <w:r>
        <w:rPr>
          <w:rFonts w:ascii="Arial" w:cs="Arial" w:eastAsia="Arial" w:hAnsi="Arial"/>
          <w:sz w:val="20"/>
          <w:szCs w:val="20"/>
          <w:color w:val="auto"/>
        </w:rPr>
        <w:t>President and Chief Executive Officer</w:t>
      </w:r>
    </w:p>
    <w:p>
      <w:pPr>
        <w:spacing w:after="0"/>
        <w:rPr>
          <w:sz w:val="20"/>
          <w:szCs w:val="20"/>
          <w:color w:val="auto"/>
        </w:rPr>
      </w:pPr>
      <w:r>
        <w:rPr>
          <w:rFonts w:ascii="Arial" w:cs="Arial" w:eastAsia="Arial" w:hAnsi="Arial"/>
          <w:sz w:val="20"/>
          <w:szCs w:val="20"/>
          <w:color w:val="auto"/>
        </w:rPr>
        <w:t>Attest: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Jeffrey C. Howland</w:t>
      </w:r>
    </w:p>
    <w:p>
      <w:pPr>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596" w:right="239" w:bottom="1440" w:gutter="0" w:footer="0" w:header="0"/>
        </w:sectPr>
      </w:pPr>
    </w:p>
    <w:bookmarkStart w:id="208" w:name="page209"/>
    <w:bookmarkEnd w:id="208"/>
    <w:p>
      <w:pPr>
        <w:jc w:val="center"/>
        <w:ind w:right="636"/>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696"/>
        <w:spacing w:after="0"/>
        <w:rPr>
          <w:sz w:val="20"/>
          <w:szCs w:val="20"/>
          <w:color w:val="auto"/>
        </w:rPr>
      </w:pPr>
      <w:r>
        <w:rPr>
          <w:rFonts w:ascii="Arial" w:cs="Arial" w:eastAsia="Arial" w:hAnsi="Arial"/>
          <w:sz w:val="20"/>
          <w:szCs w:val="20"/>
          <w:b w:val="1"/>
          <w:bCs w:val="1"/>
          <w:color w:val="auto"/>
        </w:rPr>
        <w:t>2012 Stock Incentive Plan</w:t>
      </w:r>
    </w:p>
    <w:p>
      <w:pPr>
        <w:jc w:val="center"/>
        <w:ind w:right="696"/>
        <w:spacing w:after="0"/>
        <w:rPr>
          <w:sz w:val="20"/>
          <w:szCs w:val="20"/>
          <w:color w:val="auto"/>
        </w:rPr>
      </w:pPr>
      <w:r>
        <w:rPr>
          <w:rFonts w:ascii="Arial" w:cs="Arial" w:eastAsia="Arial" w:hAnsi="Arial"/>
          <w:sz w:val="20"/>
          <w:szCs w:val="20"/>
          <w:b w:val="1"/>
          <w:bCs w:val="1"/>
          <w:color w:val="auto"/>
        </w:rPr>
        <w:t>Restricted Stock Unit Agreement</w:t>
      </w:r>
    </w:p>
    <w:p>
      <w:pPr>
        <w:jc w:val="center"/>
        <w:ind w:right="636"/>
        <w:spacing w:after="0"/>
        <w:rPr>
          <w:sz w:val="20"/>
          <w:szCs w:val="20"/>
          <w:color w:val="auto"/>
        </w:rPr>
      </w:pPr>
      <w:r>
        <w:rPr>
          <w:rFonts w:ascii="Arial" w:cs="Arial" w:eastAsia="Arial" w:hAnsi="Arial"/>
          <w:sz w:val="20"/>
          <w:szCs w:val="20"/>
          <w:b w:val="1"/>
          <w:bCs w:val="1"/>
          <w:color w:val="auto"/>
        </w:rPr>
        <w:t>(Performance-Based Award for Senior Officers (TSR))</w:t>
      </w:r>
    </w:p>
    <w:p>
      <w:pPr>
        <w:spacing w:after="0" w:line="86" w:lineRule="exact"/>
        <w:rPr>
          <w:sz w:val="20"/>
          <w:szCs w:val="20"/>
          <w:color w:val="auto"/>
        </w:rPr>
      </w:pPr>
    </w:p>
    <w:p>
      <w:pPr>
        <w:jc w:val="center"/>
        <w:ind w:right="636"/>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22" w:lineRule="exact"/>
        <w:rPr>
          <w:sz w:val="20"/>
          <w:szCs w:val="20"/>
          <w:color w:val="auto"/>
        </w:rPr>
      </w:pPr>
    </w:p>
    <w:p>
      <w:pPr>
        <w:ind w:left="3704"/>
        <w:spacing w:after="0"/>
        <w:rPr>
          <w:sz w:val="20"/>
          <w:szCs w:val="20"/>
          <w:color w:val="auto"/>
        </w:rPr>
      </w:pPr>
      <w:r>
        <w:rPr>
          <w:rFonts w:ascii="Arial" w:cs="Arial" w:eastAsia="Arial" w:hAnsi="Arial"/>
          <w:sz w:val="20"/>
          <w:szCs w:val="20"/>
          <w:i w:val="1"/>
          <w:iCs w:val="1"/>
          <w:color w:val="auto"/>
        </w:rPr>
        <w:t>[Modify schedule as appropriate.]</w:t>
      </w:r>
    </w:p>
    <w:p>
      <w:pPr>
        <w:spacing w:after="0" w:line="270" w:lineRule="exact"/>
        <w:rPr>
          <w:sz w:val="20"/>
          <w:szCs w:val="20"/>
          <w:color w:val="auto"/>
        </w:rPr>
      </w:pPr>
    </w:p>
    <w:p>
      <w:pPr>
        <w:ind w:left="804" w:hanging="804"/>
        <w:spacing w:after="0"/>
        <w:tabs>
          <w:tab w:leader="none" w:pos="804"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Award Opportunity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4" w:firstLine="645"/>
        <w:spacing w:after="0" w:line="259" w:lineRule="auto"/>
        <w:tabs>
          <w:tab w:leader="none" w:pos="1052" w:val="left"/>
        </w:tabs>
        <w:numPr>
          <w:ilvl w:val="1"/>
          <w:numId w:val="170"/>
        </w:numPr>
        <w:rPr>
          <w:rFonts w:ascii="Arial" w:cs="Arial" w:eastAsia="Arial" w:hAnsi="Arial"/>
          <w:sz w:val="19"/>
          <w:szCs w:val="19"/>
          <w:color w:val="auto"/>
        </w:rPr>
      </w:pPr>
      <w:r>
        <w:rPr>
          <w:rFonts w:ascii="Arial" w:cs="Arial" w:eastAsia="Arial" w:hAnsi="Arial"/>
          <w:sz w:val="19"/>
          <w:szCs w:val="19"/>
          <w:color w:val="auto"/>
        </w:rPr>
        <w:t>Pursuant to the terms and conditions of the Company’s 2012 Stock Incentive Plan, as it may be amended (the “Plan”), and the Restricted Stock Unit Agreement (Performance-Based Award for Senior Officers (TSR)) attached hereto, including any special terms and conditions for your country in the Appendix attached thereto (together, the “Agreement”), you (the “Participant”) are eligible to be granted an award of Restricted Stock Units (the “Award”) for the number of shares of Common Stock (the “Shares”) as may be determined pursuant to this Section 1. Unless otherwise defined herein, capitalized terms in this Schedule A shall have the same definitions as set forth in the Agreement and the Plan.</w:t>
      </w:r>
    </w:p>
    <w:p>
      <w:pPr>
        <w:spacing w:after="0" w:line="178" w:lineRule="exact"/>
        <w:rPr>
          <w:rFonts w:ascii="Arial" w:cs="Arial" w:eastAsia="Arial" w:hAnsi="Arial"/>
          <w:sz w:val="19"/>
          <w:szCs w:val="19"/>
          <w:color w:val="auto"/>
        </w:rPr>
      </w:pPr>
    </w:p>
    <w:p>
      <w:pPr>
        <w:jc w:val="both"/>
        <w:ind w:left="4" w:firstLine="645"/>
        <w:spacing w:after="0" w:line="269" w:lineRule="auto"/>
        <w:tabs>
          <w:tab w:leader="none" w:pos="125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No Award will be granted unless the Company achieves certain thresholds of Relative TSR, as outlined in the Performance Objectives set forth on Schedule B. The Award shall be divided into a series of three Performance Periods, and the Target number of Shares shown in Section 1(c) below shall be equally divided among such Performance Periods (the “Target”). If the number of Shares earned in a given Performance Period is below the Target for that Performance Period, the difference between the number of Shares earned and the Target for that Performance Period (the “Unearned Shares”) will be added to the Target that may be earned in the next succeeding Performance Period, if any; however, in no event will Unearned Shares be transferred forward for more than one Performance Period. The Relative TSR Performance Objective will remain the same for each Performance Period and is expressed as a variable percentage of the Target shown in Section 1(c) below. If the Relative TSR that is achieved is equal to zero (0) as set forth on Schedule B, the Participant shall be granted an Award for a number of Shares equal to the Target for that Performance Period. If the Relative TSR that is achieved is greater or less than zero (0), to the extent it exceeds the minimum Relative TSR threshold of set forth in Schedule B, the Target for the Performance Period will be multiplied by the percentage assigned to the threshold level of Relative TSR achieved as set forth in Schedule B. If the Company achieves the highest threshold of Relative TSR, forty percent (40%) or greater, as set forth on Schedule B, the Participant shall be granted an Award for the maximum number of Shares (200% of Target) shown in Section 1(c) below. The Award for each Performance Period shall not be granted until following the end of such Performance Period and then only if the terms and conditions described in the Agreement have been met. The aggregate number of Shares which may be subject to the Award shall be as provided in Section 1(c) below.</w:t>
      </w:r>
    </w:p>
    <w:p>
      <w:pPr>
        <w:spacing w:after="0" w:line="177" w:lineRule="exact"/>
        <w:rPr>
          <w:rFonts w:ascii="Arial" w:cs="Arial" w:eastAsia="Arial" w:hAnsi="Arial"/>
          <w:sz w:val="18"/>
          <w:szCs w:val="18"/>
          <w:color w:val="auto"/>
        </w:rPr>
      </w:pPr>
    </w:p>
    <w:p>
      <w:pPr>
        <w:ind w:left="1044" w:hanging="395"/>
        <w:spacing w:after="0"/>
        <w:tabs>
          <w:tab w:leader="none" w:pos="1044"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Target Number of Shares: ________</w:t>
      </w:r>
    </w:p>
    <w:p>
      <w:pPr>
        <w:spacing w:after="0" w:line="15" w:lineRule="exact"/>
        <w:rPr>
          <w:rFonts w:ascii="Arial" w:cs="Arial" w:eastAsia="Arial" w:hAnsi="Arial"/>
          <w:sz w:val="20"/>
          <w:szCs w:val="20"/>
          <w:color w:val="auto"/>
        </w:rPr>
      </w:pPr>
    </w:p>
    <w:p>
      <w:pPr>
        <w:ind w:left="1044"/>
        <w:spacing w:after="0"/>
        <w:rPr>
          <w:rFonts w:ascii="Arial" w:cs="Arial" w:eastAsia="Arial" w:hAnsi="Arial"/>
          <w:sz w:val="20"/>
          <w:szCs w:val="20"/>
          <w:color w:val="auto"/>
        </w:rPr>
      </w:pPr>
      <w:r>
        <w:rPr>
          <w:rFonts w:ascii="Arial" w:cs="Arial" w:eastAsia="Arial" w:hAnsi="Arial"/>
          <w:sz w:val="20"/>
          <w:szCs w:val="20"/>
          <w:color w:val="auto"/>
        </w:rPr>
        <w:t>Maximum Number of Shares (200% of Target)</w:t>
      </w:r>
    </w:p>
    <w:p>
      <w:pPr>
        <w:spacing w:after="0" w:line="213" w:lineRule="exact"/>
        <w:rPr>
          <w:rFonts w:ascii="Arial" w:cs="Arial" w:eastAsia="Arial" w:hAnsi="Arial"/>
          <w:sz w:val="20"/>
          <w:szCs w:val="20"/>
          <w:color w:val="auto"/>
        </w:rPr>
      </w:pPr>
    </w:p>
    <w:p>
      <w:pPr>
        <w:jc w:val="both"/>
        <w:ind w:left="4" w:firstLine="645"/>
        <w:spacing w:after="0" w:line="250" w:lineRule="auto"/>
        <w:tabs>
          <w:tab w:leader="none" w:pos="1103"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 Relative TSR thresholds must be met, as described in the Performance Objectives set forth in Schedule B, if at all, during the applicable Performance Period. The Administrator has sole discretion to determine if, and to what extent, any or all Performance Objectives are met and to interpret the other terms and conditions of the Agreement.</w:t>
      </w:r>
    </w:p>
    <w:p>
      <w:pPr>
        <w:spacing w:after="0" w:line="200" w:lineRule="exact"/>
        <w:rPr>
          <w:sz w:val="20"/>
          <w:szCs w:val="20"/>
          <w:color w:val="auto"/>
        </w:rPr>
      </w:pPr>
    </w:p>
    <w:p>
      <w:pPr>
        <w:spacing w:after="0" w:line="23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4"/>
          </w:cols>
          <w:pgMar w:left="896" w:top="617" w:right="239" w:bottom="1440" w:gutter="0" w:footer="0" w:header="0"/>
        </w:sectPr>
      </w:pPr>
    </w:p>
    <w:bookmarkStart w:id="209" w:name="page210"/>
    <w:bookmarkEnd w:id="209"/>
    <w:p>
      <w:pPr>
        <w:jc w:val="both"/>
        <w:ind w:firstLine="656"/>
        <w:spacing w:after="0" w:line="299" w:lineRule="auto"/>
        <w:tabs>
          <w:tab w:leader="none" w:pos="144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Performance Objectives</w:t>
      </w:r>
      <w:r>
        <w:rPr>
          <w:rFonts w:ascii="Arial" w:cs="Arial" w:eastAsia="Arial" w:hAnsi="Arial"/>
          <w:sz w:val="19"/>
          <w:szCs w:val="19"/>
          <w:color w:val="auto"/>
        </w:rPr>
        <w:t>. The Relative TSR thresholds for each Performance Period pursuant to the Agreement, and the award multiplier associated with each Relative TSR level, expressed as a percentage of the Target for a given Performance Period, shall be as stated in Schedule B, attached hereto, the terms of which shall be incorporated in and constitute a part of the Agreement.</w:t>
      </w:r>
    </w:p>
    <w:p>
      <w:pPr>
        <w:spacing w:after="0" w:line="169" w:lineRule="exact"/>
        <w:rPr>
          <w:rFonts w:ascii="Arial" w:cs="Arial" w:eastAsia="Arial" w:hAnsi="Arial"/>
          <w:sz w:val="19"/>
          <w:szCs w:val="19"/>
          <w:color w:val="auto"/>
        </w:rPr>
      </w:pPr>
    </w:p>
    <w:p>
      <w:pPr>
        <w:ind w:left="1460" w:hanging="804"/>
        <w:spacing w:after="0"/>
        <w:tabs>
          <w:tab w:leader="none" w:pos="146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Earning of Award</w:t>
      </w:r>
      <w:r>
        <w:rPr>
          <w:rFonts w:ascii="Arial" w:cs="Arial" w:eastAsia="Arial" w:hAnsi="Arial"/>
          <w:sz w:val="18"/>
          <w:szCs w:val="18"/>
          <w:color w:val="auto"/>
        </w:rPr>
        <w:t>. If the Award is granted in accordance with this Agreement, the Award shall vest and be earned as follows:</w:t>
      </w:r>
    </w:p>
    <w:p>
      <w:pPr>
        <w:spacing w:after="0" w:line="277" w:lineRule="exact"/>
        <w:rPr>
          <w:sz w:val="20"/>
          <w:szCs w:val="20"/>
          <w:color w:val="auto"/>
        </w:rPr>
      </w:pPr>
    </w:p>
    <w:p>
      <w:pPr>
        <w:ind w:left="1720" w:hanging="415"/>
        <w:spacing w:after="0"/>
        <w:tabs>
          <w:tab w:leader="none" w:pos="1720" w:val="left"/>
        </w:tabs>
        <w:numPr>
          <w:ilvl w:val="0"/>
          <w:numId w:val="172"/>
        </w:numPr>
        <w:rPr>
          <w:rFonts w:ascii="Arial" w:cs="Arial" w:eastAsia="Arial" w:hAnsi="Arial"/>
          <w:sz w:val="22"/>
          <w:szCs w:val="22"/>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w:t>
      </w:r>
    </w:p>
    <w:p>
      <w:pPr>
        <w:spacing w:after="0" w:line="209" w:lineRule="exact"/>
        <w:rPr>
          <w:sz w:val="20"/>
          <w:szCs w:val="20"/>
          <w:color w:val="auto"/>
        </w:rPr>
      </w:pPr>
    </w:p>
    <w:p>
      <w:pPr>
        <w:jc w:val="both"/>
        <w:ind w:left="660" w:firstLine="645"/>
        <w:spacing w:after="0" w:line="291" w:lineRule="auto"/>
        <w:tabs>
          <w:tab w:leader="none" w:pos="182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Up to one-third (1/3) of the Shares subject to the Award shall vest and be earned as of the date the Administrator determines the Relative TSR for the fiscal year following the date hereof (the “1 Year Relative TSR Performance Period”) if and to the extent that the Relative TSR for that Performance Period exceeds the minimum Relative TSR thresholds set forth in Schedule B;</w:t>
      </w:r>
    </w:p>
    <w:p>
      <w:pPr>
        <w:spacing w:after="0" w:line="151" w:lineRule="exact"/>
        <w:rPr>
          <w:rFonts w:ascii="Arial" w:cs="Arial" w:eastAsia="Arial" w:hAnsi="Arial"/>
          <w:sz w:val="18"/>
          <w:szCs w:val="18"/>
          <w:color w:val="auto"/>
        </w:rPr>
      </w:pPr>
    </w:p>
    <w:p>
      <w:pPr>
        <w:jc w:val="both"/>
        <w:ind w:left="660" w:firstLine="645"/>
        <w:spacing w:after="0" w:line="263" w:lineRule="auto"/>
        <w:tabs>
          <w:tab w:leader="none" w:pos="175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Up to an additional one-third (1/3) of the Shares subject to the Award, plus any Unearned Shares from the 1 Year Relative TSR Performance Period, shall vest and be earned as of the date the Administrator determines the Relative TSR for the fiscal year period ended two years from the date hereof (the “2 Year Relative TSR Performance Period”) if and to the extent that the Relative TSR for that Performance Period exceeds the minimum Relative TSR thresholds set forth in Schedule B; and</w:t>
      </w:r>
    </w:p>
    <w:p>
      <w:pPr>
        <w:spacing w:after="0" w:line="176" w:lineRule="exact"/>
        <w:rPr>
          <w:rFonts w:ascii="Arial" w:cs="Arial" w:eastAsia="Arial" w:hAnsi="Arial"/>
          <w:sz w:val="19"/>
          <w:szCs w:val="19"/>
          <w:color w:val="auto"/>
        </w:rPr>
      </w:pPr>
    </w:p>
    <w:p>
      <w:pPr>
        <w:jc w:val="both"/>
        <w:ind w:left="660" w:firstLine="645"/>
        <w:spacing w:after="0" w:line="244" w:lineRule="auto"/>
        <w:tabs>
          <w:tab w:leader="none" w:pos="191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Up to an additional one-third (1/3) of the Shares subject to the Award, plus any Unearned Shares from the 2 Year Relative TSR Performance Period (but excluding any Unearned Shares carried over from the 1 Year Relative TSR Performance Period) shall vest and be earned as of the date the Administrator determines the Relative TSR for the fiscal year period ended three years from the date hereof (the “3 Year Relative TSR Performance Period”) if and to the extent that the Relative TSR for that Performance Period exceeds the minimum Relative TSR thresholds set forth in Schedule B.</w:t>
      </w:r>
    </w:p>
    <w:p>
      <w:pPr>
        <w:spacing w:after="0" w:line="222" w:lineRule="exact"/>
        <w:rPr>
          <w:sz w:val="20"/>
          <w:szCs w:val="20"/>
          <w:color w:val="auto"/>
        </w:rPr>
      </w:pPr>
    </w:p>
    <w:p>
      <w:pPr>
        <w:jc w:val="both"/>
        <w:ind w:left="660" w:firstLine="645"/>
        <w:spacing w:after="0" w:line="265" w:lineRule="auto"/>
        <w:tabs>
          <w:tab w:leader="none" w:pos="1740" w:val="left"/>
        </w:tabs>
        <w:numPr>
          <w:ilvl w:val="0"/>
          <w:numId w:val="174"/>
        </w:numPr>
        <w:rPr>
          <w:rFonts w:ascii="Arial" w:cs="Arial" w:eastAsia="Arial" w:hAnsi="Arial"/>
          <w:sz w:val="22"/>
          <w:szCs w:val="22"/>
          <w:color w:val="auto"/>
        </w:rPr>
      </w:pPr>
      <w:r>
        <w:rPr>
          <w:rFonts w:ascii="Arial" w:cs="Arial" w:eastAsia="Arial" w:hAnsi="Arial"/>
          <w:sz w:val="20"/>
          <w:szCs w:val="20"/>
          <w:i w:val="1"/>
          <w:iCs w:val="1"/>
          <w:color w:val="auto"/>
        </w:rPr>
        <w:t>Special Post-Termination Earning and Vesting Terms</w:t>
      </w:r>
      <w:r>
        <w:rPr>
          <w:rFonts w:ascii="Arial" w:cs="Arial" w:eastAsia="Arial" w:hAnsi="Arial"/>
          <w:sz w:val="20"/>
          <w:szCs w:val="20"/>
          <w:color w:val="auto"/>
        </w:rPr>
        <w:t>: Notwithstanding the provisions of Section 3(a), the following terms</w:t>
      </w:r>
      <w:r>
        <w:rPr>
          <w:rFonts w:ascii="Arial" w:cs="Arial" w:eastAsia="Arial" w:hAnsi="Arial"/>
          <w:sz w:val="20"/>
          <w:szCs w:val="20"/>
          <w:i w:val="1"/>
          <w:iCs w:val="1"/>
          <w:color w:val="auto"/>
        </w:rPr>
        <w:t xml:space="preserve"> </w:t>
      </w:r>
      <w:r>
        <w:rPr>
          <w:rFonts w:ascii="Arial" w:cs="Arial" w:eastAsia="Arial" w:hAnsi="Arial"/>
          <w:sz w:val="20"/>
          <w:szCs w:val="20"/>
          <w:color w:val="auto"/>
        </w:rPr>
        <w:t>shall apply with respect to the Award, provided that the Participant resides in and is employed by the Company or an Affiliate based in the United States:</w:t>
      </w:r>
    </w:p>
    <w:p>
      <w:pPr>
        <w:spacing w:after="0" w:line="185" w:lineRule="exact"/>
        <w:rPr>
          <w:sz w:val="20"/>
          <w:szCs w:val="20"/>
          <w:color w:val="auto"/>
        </w:rPr>
      </w:pPr>
    </w:p>
    <w:p>
      <w:pPr>
        <w:ind w:left="660" w:firstLine="645"/>
        <w:spacing w:after="0" w:line="260" w:lineRule="auto"/>
        <w:tabs>
          <w:tab w:leader="none" w:pos="171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 the event of the Participant’s termination of employment or service for Cause, the Award (and any remaining right to underlying Shares) shall be forfeited immediately.</w:t>
      </w:r>
    </w:p>
    <w:p>
      <w:pPr>
        <w:spacing w:after="0" w:line="176" w:lineRule="exact"/>
        <w:rPr>
          <w:rFonts w:ascii="Arial" w:cs="Arial" w:eastAsia="Arial" w:hAnsi="Arial"/>
          <w:sz w:val="20"/>
          <w:szCs w:val="20"/>
          <w:color w:val="auto"/>
        </w:rPr>
      </w:pPr>
    </w:p>
    <w:p>
      <w:pPr>
        <w:jc w:val="both"/>
        <w:ind w:left="660" w:firstLine="645"/>
        <w:spacing w:after="0" w:line="243" w:lineRule="auto"/>
        <w:tabs>
          <w:tab w:leader="none" w:pos="178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 the event of the Participant’s death (X) before the end of any Performance Period, the Award shall automatically be deemed earned and fully vested at 100% of the Target for such Performance Period (but excluding any Unearned Shares that may be available for carryover from any prior Performance Period) effective as of the date of the Participant’s death, or (Y) on or following the end of any Performance Period, to the extent the Award has not previously been earned and fully vested as of the date of the Participant’s death, the Award shall be eligible to be earned and fully vested effective as of the date of the Participant’s death (based on the Administrator’s determination of the extent, if any, to which the Performance Objectives have been met following the end of such Performance Period).</w:t>
      </w:r>
    </w:p>
    <w:p>
      <w:pPr>
        <w:spacing w:after="0" w:line="193" w:lineRule="exact"/>
        <w:rPr>
          <w:rFonts w:ascii="Arial" w:cs="Arial" w:eastAsia="Arial" w:hAnsi="Arial"/>
          <w:sz w:val="20"/>
          <w:szCs w:val="20"/>
          <w:color w:val="auto"/>
        </w:rPr>
      </w:pPr>
    </w:p>
    <w:p>
      <w:pPr>
        <w:ind w:left="660" w:firstLine="645"/>
        <w:spacing w:after="0" w:line="260" w:lineRule="auto"/>
        <w:tabs>
          <w:tab w:leader="none" w:pos="189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 the event of the Participant’s termination of employment or service for any reason (including termination due to Disability) other than death or for Cause, the following terms shall apply with respect to the Award: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636" w:right="239" w:bottom="1440" w:gutter="0" w:footer="0" w:header="0"/>
        </w:sectPr>
      </w:pPr>
    </w:p>
    <w:bookmarkStart w:id="210" w:name="page211"/>
    <w:bookmarkEnd w:id="210"/>
    <w:p>
      <w:pPr>
        <w:jc w:val="both"/>
        <w:ind w:left="4" w:firstLine="1293"/>
        <w:spacing w:after="0" w:line="289" w:lineRule="auto"/>
        <w:tabs>
          <w:tab w:leader="none" w:pos="1771" w:val="left"/>
        </w:tabs>
        <w:numPr>
          <w:ilvl w:val="2"/>
          <w:numId w:val="176"/>
        </w:numPr>
        <w:rPr>
          <w:rFonts w:ascii="Arial" w:cs="Arial" w:eastAsia="Arial" w:hAnsi="Arial"/>
          <w:sz w:val="19"/>
          <w:szCs w:val="19"/>
          <w:color w:val="auto"/>
        </w:rPr>
      </w:pPr>
      <w:r>
        <w:rPr>
          <w:rFonts w:ascii="Arial" w:cs="Arial" w:eastAsia="Arial" w:hAnsi="Arial"/>
          <w:sz w:val="18"/>
          <w:szCs w:val="18"/>
          <w:color w:val="auto"/>
        </w:rPr>
        <w:t>If the Participant (1) has executed, within the Statutory Notice Period, a Release and, if so determined by the Company, a Severance Agreement, (2) does not revoke the Release prior to the end of the seven-day statutory revocation period, and</w:t>
      </w:r>
    </w:p>
    <w:p>
      <w:pPr>
        <w:jc w:val="both"/>
        <w:ind w:left="4" w:hanging="4"/>
        <w:spacing w:after="0" w:line="314" w:lineRule="auto"/>
        <w:tabs>
          <w:tab w:leader="none" w:pos="29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satisfies the Post-Employment Condition, then the Award shall continue to be eligible to be earned (based on the Administrator’s determination of the extent, if any, to which the Performance Objectives have been met following the end of the applicable Performance Period) and vested according to the earning and vesting schedule stated in Section 3(a) above as if the Participant had remained an employee of, or service provider to, the Company or an Affiliate during the Post-Termination Period.</w:t>
      </w:r>
    </w:p>
    <w:p>
      <w:pPr>
        <w:spacing w:after="0" w:line="172" w:lineRule="exact"/>
        <w:rPr>
          <w:rFonts w:ascii="Arial" w:cs="Arial" w:eastAsia="Arial" w:hAnsi="Arial"/>
          <w:sz w:val="18"/>
          <w:szCs w:val="18"/>
          <w:color w:val="auto"/>
        </w:rPr>
      </w:pPr>
    </w:p>
    <w:p>
      <w:pPr>
        <w:jc w:val="both"/>
        <w:ind w:left="4" w:firstLine="1293"/>
        <w:spacing w:after="0" w:line="266" w:lineRule="auto"/>
        <w:tabs>
          <w:tab w:leader="none" w:pos="1773" w:val="left"/>
        </w:tabs>
        <w:numPr>
          <w:ilvl w:val="2"/>
          <w:numId w:val="177"/>
        </w:numPr>
        <w:rPr>
          <w:rFonts w:ascii="Arial" w:cs="Arial" w:eastAsia="Arial" w:hAnsi="Arial"/>
          <w:sz w:val="22"/>
          <w:szCs w:val="22"/>
          <w:color w:val="auto"/>
        </w:rPr>
      </w:pPr>
      <w:r>
        <w:rPr>
          <w:rFonts w:ascii="Arial" w:cs="Arial" w:eastAsia="Arial" w:hAnsi="Arial"/>
          <w:sz w:val="20"/>
          <w:szCs w:val="20"/>
          <w:color w:val="auto"/>
        </w:rPr>
        <w:t>If the Participant fails to execute such Release and, if applicable, Severance Agreement, within the Statutory Notice Period, or revokes the Release prior to the end of the seven-day statutory revocation period, or violates the Post-Employment Condition, the Award (and any remaining right to underlying Shares) shall be deemed forfeited in its entirety as of the date of the Participant’s Termination Date.</w:t>
      </w:r>
    </w:p>
    <w:p>
      <w:pPr>
        <w:spacing w:after="0" w:line="210" w:lineRule="exact"/>
        <w:rPr>
          <w:rFonts w:ascii="Arial" w:cs="Arial" w:eastAsia="Arial" w:hAnsi="Arial"/>
          <w:sz w:val="22"/>
          <w:szCs w:val="22"/>
          <w:color w:val="auto"/>
        </w:rPr>
      </w:pPr>
    </w:p>
    <w:p>
      <w:pPr>
        <w:jc w:val="both"/>
        <w:ind w:left="4" w:firstLine="1293"/>
        <w:spacing w:after="0" w:line="293" w:lineRule="auto"/>
        <w:tabs>
          <w:tab w:leader="none" w:pos="1760" w:val="left"/>
        </w:tabs>
        <w:numPr>
          <w:ilvl w:val="2"/>
          <w:numId w:val="177"/>
        </w:numPr>
        <w:rPr>
          <w:rFonts w:ascii="Arial" w:cs="Arial" w:eastAsia="Arial" w:hAnsi="Arial"/>
          <w:sz w:val="19"/>
          <w:szCs w:val="19"/>
          <w:color w:val="auto"/>
        </w:rPr>
      </w:pPr>
      <w:r>
        <w:rPr>
          <w:rFonts w:ascii="Arial" w:cs="Arial" w:eastAsia="Arial" w:hAnsi="Arial"/>
          <w:sz w:val="18"/>
          <w:szCs w:val="18"/>
          <w:color w:val="auto"/>
        </w:rPr>
        <w:t>If the Administrator determines in the exercise of its discretion that the Participant has committed a breach or violation of the Release, the Severance Agreement, the ICN Agreement or the Post-Employment Condition at any time on or prior to end of the Post-Termination Period (without regard to when the Administrator first discovers or has notice of any such breach or violation), then, in addition to any other remedies available to the Company at law or in equity as a result of such breach or violation,</w:t>
      </w:r>
    </w:p>
    <w:p>
      <w:pPr>
        <w:spacing w:after="0" w:line="1" w:lineRule="exact"/>
        <w:rPr>
          <w:rFonts w:ascii="Arial" w:cs="Arial" w:eastAsia="Arial" w:hAnsi="Arial"/>
          <w:sz w:val="19"/>
          <w:szCs w:val="19"/>
          <w:color w:val="auto"/>
        </w:rPr>
      </w:pPr>
    </w:p>
    <w:p>
      <w:pPr>
        <w:jc w:val="both"/>
        <w:ind w:left="4" w:hanging="4"/>
        <w:spacing w:after="0" w:line="304" w:lineRule="auto"/>
        <w:tabs>
          <w:tab w:leader="none" w:pos="28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 related to the grant or vesting of the Award), and the Participant shall cease to have any interest in or right to such Shares and shall cease to be recognized as the legal owner of such Shares; and (3)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3.</w:t>
      </w:r>
    </w:p>
    <w:p>
      <w:pPr>
        <w:spacing w:after="0" w:line="184" w:lineRule="exact"/>
        <w:rPr>
          <w:rFonts w:ascii="Arial" w:cs="Arial" w:eastAsia="Arial" w:hAnsi="Arial"/>
          <w:sz w:val="18"/>
          <w:szCs w:val="18"/>
          <w:color w:val="auto"/>
        </w:rPr>
      </w:pPr>
    </w:p>
    <w:p>
      <w:pPr>
        <w:jc w:val="both"/>
        <w:ind w:left="4" w:firstLine="1293"/>
        <w:spacing w:after="0" w:line="282" w:lineRule="auto"/>
        <w:tabs>
          <w:tab w:leader="none" w:pos="1771" w:val="left"/>
        </w:tabs>
        <w:numPr>
          <w:ilvl w:val="2"/>
          <w:numId w:val="178"/>
        </w:numPr>
        <w:rPr>
          <w:rFonts w:ascii="Arial" w:cs="Arial" w:eastAsia="Arial" w:hAnsi="Arial"/>
          <w:sz w:val="21"/>
          <w:szCs w:val="21"/>
          <w:color w:val="auto"/>
        </w:rPr>
      </w:pPr>
      <w:r>
        <w:rPr>
          <w:rFonts w:ascii="Arial" w:cs="Arial" w:eastAsia="Arial" w:hAnsi="Arial"/>
          <w:sz w:val="19"/>
          <w:szCs w:val="19"/>
          <w:color w:val="auto"/>
        </w:rPr>
        <w:t>If, during the Post-Termination Period, the Participant dies (1) before the end of any Performance Period, the Award shall automatically be deemed earned and fully vested at 100% of the Target for such Performance Period (but excluding any Unearned Shares that may be available for carryover from any prior Performance Period) effective as of the date of the Participant’s death, or (2) on or following the end of any Performance Period, to the extent the Award has not previously been earned and fully vested as of the date of the Participant’s death, the Award shall be eligible to be earned and fully vested effective as of the date of the Participant’s death (based on the Administrator’s determination of the extent, if any, to which the Performance Objectives have been met following the end of such Performance Period).</w:t>
      </w:r>
    </w:p>
    <w:p>
      <w:pPr>
        <w:spacing w:after="0" w:line="174" w:lineRule="exact"/>
        <w:rPr>
          <w:rFonts w:ascii="Arial" w:cs="Arial" w:eastAsia="Arial" w:hAnsi="Arial"/>
          <w:sz w:val="21"/>
          <w:szCs w:val="21"/>
          <w:color w:val="auto"/>
        </w:rPr>
      </w:pPr>
    </w:p>
    <w:p>
      <w:pPr>
        <w:jc w:val="both"/>
        <w:ind w:left="4" w:firstLine="645"/>
        <w:spacing w:after="0" w:line="244" w:lineRule="auto"/>
        <w:tabs>
          <w:tab w:leader="none" w:pos="1293" w:val="left"/>
        </w:tabs>
        <w:numPr>
          <w:ilvl w:val="1"/>
          <w:numId w:val="178"/>
        </w:numPr>
        <w:rPr>
          <w:rFonts w:ascii="Arial" w:cs="Arial" w:eastAsia="Arial" w:hAnsi="Arial"/>
          <w:sz w:val="20"/>
          <w:szCs w:val="20"/>
          <w:color w:val="auto"/>
        </w:rPr>
      </w:pPr>
      <w:r>
        <w:rPr>
          <w:rFonts w:ascii="Arial" w:cs="Arial" w:eastAsia="Arial" w:hAnsi="Arial"/>
          <w:sz w:val="20"/>
          <w:szCs w:val="20"/>
          <w:color w:val="auto"/>
        </w:rPr>
        <w:t>Except as otherwise provided in Section 3(b)(v) below, any Shares and any other benefit subject to the Award distributable to the Participant following the Termination Date pursuant to Section 3(b) herein shall be issued in accordance with the earning and vesting schedule stated in Section 3(a) above and shall be distributed on such earning and vesting dates or a later date(s) within the same taxable year of the Participant, or, if later, by the 15th day of the third calendar month following the date(s) specified in Section 3(a) and the Participant shall not be permitted, directly or</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4"/>
          </w:cols>
          <w:pgMar w:left="896" w:top="649" w:right="239" w:bottom="1440" w:gutter="0" w:footer="0" w:header="0"/>
        </w:sectPr>
      </w:pPr>
    </w:p>
    <w:bookmarkStart w:id="211" w:name="page212"/>
    <w:bookmarkEnd w:id="211"/>
    <w:p>
      <w:pPr>
        <w:ind w:left="4" w:right="20"/>
        <w:spacing w:after="0" w:line="260" w:lineRule="auto"/>
        <w:rPr>
          <w:sz w:val="20"/>
          <w:szCs w:val="20"/>
          <w:color w:val="auto"/>
        </w:rPr>
      </w:pPr>
      <w:r>
        <w:rPr>
          <w:rFonts w:ascii="Arial" w:cs="Arial" w:eastAsia="Arial" w:hAnsi="Arial"/>
          <w:sz w:val="20"/>
          <w:szCs w:val="20"/>
          <w:color w:val="auto"/>
        </w:rPr>
        <w:t>indirectly, to designate the taxable year of distribution, or shall otherwise be made in accordance with Code Section 409A and related regulations.</w:t>
      </w:r>
    </w:p>
    <w:p>
      <w:pPr>
        <w:spacing w:after="0" w:line="177" w:lineRule="exact"/>
        <w:rPr>
          <w:sz w:val="20"/>
          <w:szCs w:val="20"/>
          <w:color w:val="auto"/>
        </w:rPr>
      </w:pPr>
    </w:p>
    <w:p>
      <w:pPr>
        <w:jc w:val="both"/>
        <w:ind w:left="4" w:firstLine="645"/>
        <w:spacing w:after="0" w:line="274" w:lineRule="auto"/>
        <w:tabs>
          <w:tab w:leader="none" w:pos="113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Shares issuable to such person or persons as shall have acquired the right to the Award by will or by the laws of intestate succession following the Participant’s death pursuant to Section 3(b)(ii) or Section 3(b)(iii)(D) above shall be issued to such person or persons on the date that is the 90th day following the date of the Participant’s death and shall be distributed on such date or a later date within the same taxable year of the Participant’s death, or, if later, by the 15th day of the third calendar month following the taxable year of the Participant’s death and the Participant (or such person or persons as shall have acquired the right to the Award by will or by the laws of intestate succession) shall not be permitted, directly or indirectly, to designate the taxable year of distribution, or shall otherwise be made in accordance with Code Section 409A and related regulations.</w:t>
      </w:r>
    </w:p>
    <w:p>
      <w:pPr>
        <w:spacing w:after="0" w:line="196" w:lineRule="exact"/>
        <w:rPr>
          <w:sz w:val="20"/>
          <w:szCs w:val="20"/>
          <w:color w:val="auto"/>
        </w:rPr>
      </w:pPr>
    </w:p>
    <w:p>
      <w:pPr>
        <w:ind w:left="1064" w:hanging="415"/>
        <w:spacing w:after="0"/>
        <w:tabs>
          <w:tab w:leader="none" w:pos="1064" w:val="left"/>
        </w:tabs>
        <w:numPr>
          <w:ilvl w:val="0"/>
          <w:numId w:val="180"/>
        </w:numPr>
        <w:rPr>
          <w:rFonts w:ascii="Arial" w:cs="Arial" w:eastAsia="Arial" w:hAnsi="Arial"/>
          <w:sz w:val="19"/>
          <w:szCs w:val="19"/>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In addition to other terms defined herein or in the Agreement, the following terms shall have the meanings</w:t>
      </w:r>
    </w:p>
    <w:p>
      <w:pPr>
        <w:spacing w:after="0" w:line="38"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0"/>
          <w:szCs w:val="20"/>
          <w:color w:val="auto"/>
        </w:rPr>
        <w:t>given below:</w:t>
      </w:r>
    </w:p>
    <w:p>
      <w:pPr>
        <w:spacing w:after="0" w:line="121" w:lineRule="exact"/>
        <w:rPr>
          <w:sz w:val="20"/>
          <w:szCs w:val="20"/>
          <w:color w:val="auto"/>
        </w:rPr>
      </w:pPr>
    </w:p>
    <w:p>
      <w:pPr>
        <w:ind w:left="4" w:firstLine="645"/>
        <w:spacing w:after="0" w:line="260" w:lineRule="auto"/>
        <w:tabs>
          <w:tab w:leader="none" w:pos="1032" w:val="left"/>
        </w:tabs>
        <w:numPr>
          <w:ilvl w:val="1"/>
          <w:numId w:val="181"/>
        </w:numPr>
        <w:rPr>
          <w:rFonts w:ascii="Arial" w:cs="Arial" w:eastAsia="Arial" w:hAnsi="Arial"/>
          <w:sz w:val="20"/>
          <w:szCs w:val="20"/>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w:t>
      </w:r>
    </w:p>
    <w:p>
      <w:pPr>
        <w:spacing w:after="0" w:line="176" w:lineRule="exact"/>
        <w:rPr>
          <w:rFonts w:ascii="Arial" w:cs="Arial" w:eastAsia="Arial" w:hAnsi="Arial"/>
          <w:sz w:val="20"/>
          <w:szCs w:val="20"/>
          <w:color w:val="auto"/>
        </w:rPr>
      </w:pPr>
    </w:p>
    <w:p>
      <w:pPr>
        <w:ind w:left="4" w:right="20" w:firstLine="645"/>
        <w:spacing w:after="0" w:line="260" w:lineRule="auto"/>
        <w:tabs>
          <w:tab w:leader="none" w:pos="1141" w:val="left"/>
        </w:tabs>
        <w:numPr>
          <w:ilvl w:val="1"/>
          <w:numId w:val="181"/>
        </w:numPr>
        <w:rPr>
          <w:rFonts w:ascii="Arial" w:cs="Arial" w:eastAsia="Arial" w:hAnsi="Arial"/>
          <w:sz w:val="20"/>
          <w:szCs w:val="20"/>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176" w:lineRule="exact"/>
        <w:rPr>
          <w:rFonts w:ascii="Arial" w:cs="Arial" w:eastAsia="Arial" w:hAnsi="Arial"/>
          <w:sz w:val="20"/>
          <w:szCs w:val="20"/>
          <w:color w:val="auto"/>
        </w:rPr>
      </w:pPr>
    </w:p>
    <w:p>
      <w:pPr>
        <w:jc w:val="both"/>
        <w:ind w:left="4" w:firstLine="645"/>
        <w:spacing w:after="0" w:line="250" w:lineRule="auto"/>
        <w:tabs>
          <w:tab w:leader="none" w:pos="1183" w:val="left"/>
        </w:tabs>
        <w:numPr>
          <w:ilvl w:val="1"/>
          <w:numId w:val="181"/>
        </w:numPr>
        <w:rPr>
          <w:rFonts w:ascii="Arial" w:cs="Arial" w:eastAsia="Arial" w:hAnsi="Arial"/>
          <w:sz w:val="20"/>
          <w:szCs w:val="20"/>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186" w:lineRule="exact"/>
        <w:rPr>
          <w:rFonts w:ascii="Arial" w:cs="Arial" w:eastAsia="Arial" w:hAnsi="Arial"/>
          <w:sz w:val="20"/>
          <w:szCs w:val="20"/>
          <w:color w:val="auto"/>
        </w:rPr>
      </w:pPr>
    </w:p>
    <w:p>
      <w:pPr>
        <w:ind w:left="4" w:firstLine="645"/>
        <w:spacing w:after="0" w:line="260" w:lineRule="auto"/>
        <w:tabs>
          <w:tab w:leader="none" w:pos="1158" w:val="left"/>
        </w:tabs>
        <w:numPr>
          <w:ilvl w:val="1"/>
          <w:numId w:val="181"/>
        </w:numPr>
        <w:rPr>
          <w:rFonts w:ascii="Arial" w:cs="Arial" w:eastAsia="Arial" w:hAnsi="Arial"/>
          <w:sz w:val="20"/>
          <w:szCs w:val="20"/>
          <w:color w:val="auto"/>
        </w:rPr>
      </w:pPr>
      <w:r>
        <w:rPr>
          <w:rFonts w:ascii="Arial" w:cs="Arial" w:eastAsia="Arial" w:hAnsi="Arial"/>
          <w:sz w:val="20"/>
          <w:szCs w:val="20"/>
          <w:color w:val="auto"/>
        </w:rPr>
        <w:t>“Post-Termination Period” means the period commencing on the Participant’s Termination Date and ending on the date that the last installment of Shares covered by the Award is earned and vests under this Agreement.</w:t>
      </w:r>
    </w:p>
    <w:p>
      <w:pPr>
        <w:spacing w:after="0" w:line="176" w:lineRule="exact"/>
        <w:rPr>
          <w:rFonts w:ascii="Arial" w:cs="Arial" w:eastAsia="Arial" w:hAnsi="Arial"/>
          <w:sz w:val="20"/>
          <w:szCs w:val="20"/>
          <w:color w:val="auto"/>
        </w:rPr>
      </w:pPr>
    </w:p>
    <w:p>
      <w:pPr>
        <w:jc w:val="both"/>
        <w:ind w:left="4" w:firstLine="645"/>
        <w:spacing w:after="0" w:line="291" w:lineRule="auto"/>
        <w:tabs>
          <w:tab w:leader="none" w:pos="10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151" w:lineRule="exact"/>
        <w:rPr>
          <w:rFonts w:ascii="Arial" w:cs="Arial" w:eastAsia="Arial" w:hAnsi="Arial"/>
          <w:sz w:val="18"/>
          <w:szCs w:val="18"/>
          <w:color w:val="auto"/>
        </w:rPr>
      </w:pPr>
    </w:p>
    <w:p>
      <w:pPr>
        <w:jc w:val="both"/>
        <w:ind w:left="4" w:firstLine="645"/>
        <w:spacing w:after="0" w:line="250" w:lineRule="auto"/>
        <w:tabs>
          <w:tab w:leader="none" w:pos="1293" w:val="left"/>
        </w:tabs>
        <w:numPr>
          <w:ilvl w:val="1"/>
          <w:numId w:val="181"/>
        </w:numPr>
        <w:rPr>
          <w:rFonts w:ascii="Arial" w:cs="Arial" w:eastAsia="Arial" w:hAnsi="Arial"/>
          <w:sz w:val="20"/>
          <w:szCs w:val="20"/>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186" w:lineRule="exact"/>
        <w:rPr>
          <w:rFonts w:ascii="Arial" w:cs="Arial" w:eastAsia="Arial" w:hAnsi="Arial"/>
          <w:sz w:val="20"/>
          <w:szCs w:val="20"/>
          <w:color w:val="auto"/>
        </w:rPr>
      </w:pPr>
    </w:p>
    <w:p>
      <w:pPr>
        <w:ind w:left="4" w:firstLine="645"/>
        <w:spacing w:after="0" w:line="260" w:lineRule="auto"/>
        <w:tabs>
          <w:tab w:leader="none" w:pos="124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176" w:lineRule="exact"/>
        <w:rPr>
          <w:rFonts w:ascii="Arial" w:cs="Arial" w:eastAsia="Arial" w:hAnsi="Arial"/>
          <w:sz w:val="20"/>
          <w:szCs w:val="20"/>
          <w:color w:val="auto"/>
        </w:rPr>
      </w:pPr>
    </w:p>
    <w:p>
      <w:pPr>
        <w:ind w:left="344" w:hanging="344"/>
        <w:spacing w:after="0"/>
        <w:tabs>
          <w:tab w:leader="none" w:pos="344"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w:t>
      </w:r>
    </w:p>
    <w:p>
      <w:pPr>
        <w:spacing w:after="0" w:line="216" w:lineRule="exact"/>
        <w:rPr>
          <w:sz w:val="20"/>
          <w:szCs w:val="20"/>
          <w:color w:val="auto"/>
        </w:rPr>
      </w:pPr>
    </w:p>
    <w:p>
      <w:pPr>
        <w:ind w:left="4" w:firstLine="645"/>
        <w:spacing w:after="0" w:line="260" w:lineRule="auto"/>
        <w:tabs>
          <w:tab w:leader="none" w:pos="107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In the event of a Change of Control, the remaining Performance Period(s) will be truncated. In such a case, the TSR of the Company will be measured as of the date of the Change</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0764"/>
          </w:cols>
          <w:pgMar w:left="896" w:top="622" w:right="239" w:bottom="1440" w:gutter="0" w:footer="0" w:header="0"/>
        </w:sectPr>
      </w:pPr>
    </w:p>
    <w:bookmarkStart w:id="212" w:name="page213"/>
    <w:bookmarkEnd w:id="212"/>
    <w:p>
      <w:pPr>
        <w:jc w:val="both"/>
        <w:ind w:left="660"/>
        <w:spacing w:after="0" w:line="250" w:lineRule="auto"/>
        <w:rPr>
          <w:sz w:val="20"/>
          <w:szCs w:val="20"/>
          <w:color w:val="auto"/>
        </w:rPr>
      </w:pPr>
      <w:r>
        <w:rPr>
          <w:rFonts w:ascii="Arial" w:cs="Arial" w:eastAsia="Arial" w:hAnsi="Arial"/>
          <w:sz w:val="20"/>
          <w:szCs w:val="20"/>
          <w:color w:val="auto"/>
        </w:rPr>
        <w:t>of Control, using the transaction price. For the avoidance of doubt, no averaging period as described in the definition of “TSR” will be applied to the ending price for the Company. The TSR of the Benchmark will be measured using the 90-day period ending on the date of the Change of Control.</w:t>
      </w:r>
    </w:p>
    <w:p>
      <w:pPr>
        <w:spacing w:after="0" w:line="186" w:lineRule="exact"/>
        <w:rPr>
          <w:sz w:val="20"/>
          <w:szCs w:val="20"/>
          <w:color w:val="auto"/>
        </w:rPr>
      </w:pPr>
    </w:p>
    <w:p>
      <w:pPr>
        <w:ind w:left="660" w:right="20" w:firstLine="645"/>
        <w:spacing w:after="0" w:line="260" w:lineRule="auto"/>
        <w:tabs>
          <w:tab w:leader="none" w:pos="1756"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number of Award Shares will be based upon the Relative TSR thresholds outlined in the Performance Objectives set forth in Schedule B.</w:t>
      </w:r>
    </w:p>
    <w:p>
      <w:pPr>
        <w:spacing w:after="0" w:line="176" w:lineRule="exact"/>
        <w:rPr>
          <w:rFonts w:ascii="Arial" w:cs="Arial" w:eastAsia="Arial" w:hAnsi="Arial"/>
          <w:sz w:val="20"/>
          <w:szCs w:val="20"/>
          <w:color w:val="auto"/>
        </w:rPr>
      </w:pPr>
    </w:p>
    <w:p>
      <w:pPr>
        <w:jc w:val="both"/>
        <w:ind w:left="660" w:firstLine="645"/>
        <w:spacing w:after="0" w:line="270" w:lineRule="auto"/>
        <w:tabs>
          <w:tab w:leader="none" w:pos="173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number of Award Shares that may be earned during any remaining Performance Period(s) shall be pro-rated based on a fraction, the numerator of which is the number of days between the first day of such remaining Performance Period and the date of the Change of Control and the denominator of which is the number of days between the first day of such remaining Performance Period and the last day of the third and last Performance Period. Such pro-rated Award Shares shall become fully vested upon the date of the Change of Control. Any Award Shares, to the extent not previously vested or forfeited prior to the Change of Control, in excess of the pro-rated number of Award Shares described in the preceding sentence will convert into a time-based award that will vest at the end of each remaining Performance Period, subject to the Participant’s continued service throughout each such Performance Period. Further, in the event that the employment of the Participant is terminated within one (1) year (or such other period after a Change of Control as may be stated in the Participant’s Change in Control agreement, employment agreement or similar agreement, if applicable) after the date of the Change of Control and such termination of employment (A) is by the Company not for Cause (as defined in the Plan) or (B) is by the Participant for Good Reason (as defined in the Plan), the aforementioned time-based award will accelerate and fully vest on the Participant’s Termination Date.</w:t>
      </w:r>
    </w:p>
    <w:p>
      <w:pPr>
        <w:spacing w:after="0" w:line="176" w:lineRule="exact"/>
        <w:rPr>
          <w:rFonts w:ascii="Arial" w:cs="Arial" w:eastAsia="Arial" w:hAnsi="Arial"/>
          <w:sz w:val="18"/>
          <w:szCs w:val="18"/>
          <w:color w:val="auto"/>
        </w:rPr>
      </w:pPr>
    </w:p>
    <w:p>
      <w:pPr>
        <w:jc w:val="both"/>
        <w:ind w:firstLine="656"/>
        <w:spacing w:after="0" w:line="250" w:lineRule="auto"/>
        <w:tabs>
          <w:tab w:leader="none" w:pos="1022"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If the Company pays a dividend at any time after the Effective Date, such dividends shall be paid to the Participant at the end of each applicable Performance Period in accordance with Section 8 of the Agreement and Sections 3(b)(iv) and 3(b)(v) of this Schedule A if and to the extent the underlying Shares are earned in that Performance Period.</w:t>
      </w:r>
    </w:p>
    <w:p>
      <w:pPr>
        <w:spacing w:after="0" w:line="186" w:lineRule="exact"/>
        <w:rPr>
          <w:rFonts w:ascii="Arial" w:cs="Arial" w:eastAsia="Arial" w:hAnsi="Arial"/>
          <w:sz w:val="20"/>
          <w:szCs w:val="20"/>
          <w:color w:val="auto"/>
        </w:rPr>
      </w:pPr>
    </w:p>
    <w:p>
      <w:pPr>
        <w:ind w:left="1000" w:hanging="344"/>
        <w:spacing w:after="0"/>
        <w:tabs>
          <w:tab w:leader="none" w:pos="1000"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 the following terms have the following meanings:</w:t>
      </w:r>
    </w:p>
    <w:p>
      <w:pPr>
        <w:spacing w:after="0" w:line="215" w:lineRule="exact"/>
        <w:rPr>
          <w:rFonts w:ascii="Arial" w:cs="Arial" w:eastAsia="Arial" w:hAnsi="Arial"/>
          <w:sz w:val="20"/>
          <w:szCs w:val="20"/>
          <w:color w:val="auto"/>
        </w:rPr>
      </w:pPr>
    </w:p>
    <w:p>
      <w:pPr>
        <w:ind w:left="660" w:firstLine="645"/>
        <w:spacing w:after="0" w:line="260" w:lineRule="auto"/>
        <w:tabs>
          <w:tab w:leader="none" w:pos="1738" w:val="left"/>
        </w:tabs>
        <w:numPr>
          <w:ilvl w:val="1"/>
          <w:numId w:val="185"/>
        </w:numPr>
        <w:rPr>
          <w:rFonts w:ascii="Arial" w:cs="Arial" w:eastAsia="Arial" w:hAnsi="Arial"/>
          <w:sz w:val="20"/>
          <w:szCs w:val="20"/>
          <w:color w:val="auto"/>
        </w:rPr>
      </w:pPr>
      <w:r>
        <w:rPr>
          <w:rFonts w:ascii="Arial" w:cs="Arial" w:eastAsia="Arial" w:hAnsi="Arial"/>
          <w:sz w:val="20"/>
          <w:szCs w:val="20"/>
          <w:color w:val="auto"/>
        </w:rPr>
        <w:t>“Benchmark” is the S&amp;P SPDR Semiconductor ETF index (NYSE: XSD) or any successor index that may be selected by the Administrator.</w:t>
      </w:r>
    </w:p>
    <w:p>
      <w:pPr>
        <w:spacing w:after="0" w:line="203" w:lineRule="exact"/>
        <w:rPr>
          <w:rFonts w:ascii="Arial" w:cs="Arial" w:eastAsia="Arial" w:hAnsi="Arial"/>
          <w:sz w:val="20"/>
          <w:szCs w:val="20"/>
          <w:color w:val="auto"/>
        </w:rPr>
      </w:pPr>
    </w:p>
    <w:p>
      <w:pPr>
        <w:ind w:left="1740" w:hanging="435"/>
        <w:spacing w:after="0"/>
        <w:tabs>
          <w:tab w:leader="none" w:pos="1740" w:val="left"/>
        </w:tabs>
        <w:numPr>
          <w:ilvl w:val="1"/>
          <w:numId w:val="185"/>
        </w:numPr>
        <w:rPr>
          <w:rFonts w:ascii="Arial" w:cs="Arial" w:eastAsia="Arial" w:hAnsi="Arial"/>
          <w:sz w:val="21"/>
          <w:szCs w:val="21"/>
          <w:color w:val="auto"/>
        </w:rPr>
      </w:pPr>
      <w:r>
        <w:rPr>
          <w:rFonts w:ascii="Arial" w:cs="Arial" w:eastAsia="Arial" w:hAnsi="Arial"/>
          <w:sz w:val="19"/>
          <w:szCs w:val="19"/>
          <w:color w:val="auto"/>
        </w:rPr>
        <w:t>“Relative TSR” equals the Company’s TSR minus the Benchmark’s TSR during an applicable Performance Period.</w:t>
      </w:r>
    </w:p>
    <w:p>
      <w:pPr>
        <w:spacing w:after="0" w:line="244" w:lineRule="exact"/>
        <w:rPr>
          <w:rFonts w:ascii="Arial" w:cs="Arial" w:eastAsia="Arial" w:hAnsi="Arial"/>
          <w:sz w:val="21"/>
          <w:szCs w:val="21"/>
          <w:color w:val="auto"/>
        </w:rPr>
      </w:pPr>
    </w:p>
    <w:p>
      <w:pPr>
        <w:jc w:val="both"/>
        <w:ind w:left="660" w:firstLine="645"/>
        <w:spacing w:after="0" w:line="266" w:lineRule="auto"/>
        <w:tabs>
          <w:tab w:leader="none" w:pos="1863" w:val="left"/>
        </w:tabs>
        <w:numPr>
          <w:ilvl w:val="1"/>
          <w:numId w:val="185"/>
        </w:numPr>
        <w:rPr>
          <w:rFonts w:ascii="Arial" w:cs="Arial" w:eastAsia="Arial" w:hAnsi="Arial"/>
          <w:sz w:val="22"/>
          <w:szCs w:val="22"/>
          <w:color w:val="auto"/>
        </w:rPr>
      </w:pPr>
      <w:r>
        <w:rPr>
          <w:rFonts w:ascii="Arial" w:cs="Arial" w:eastAsia="Arial" w:hAnsi="Arial"/>
          <w:sz w:val="20"/>
          <w:szCs w:val="20"/>
          <w:color w:val="auto"/>
        </w:rPr>
        <w:t>“TSR” means total stockholder return, measured by taking the average share price during the final 90 days of the Performance Period divided by the average share price during the 90 days ending on the day prior to the start of the Performance Period. In calculating TSR, share prices will be adjusted to reflect the reinvestment of dividends, if any, to reflect the Company’s and Benchmark’s TSR.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Updated February 2016</w:t>
      </w:r>
    </w:p>
    <w:p>
      <w:pPr>
        <w:sectPr>
          <w:pgSz w:w="11900" w:h="16838" w:orient="portrait"/>
          <w:cols w:equalWidth="0" w:num="1">
            <w:col w:w="11420"/>
          </w:cols>
          <w:pgMar w:left="240" w:top="623" w:right="239" w:bottom="1440" w:gutter="0" w:footer="0" w:header="0"/>
        </w:sectPr>
      </w:pPr>
    </w:p>
    <w:bookmarkStart w:id="213" w:name="page214"/>
    <w:bookmarkEnd w:id="213"/>
    <w:p>
      <w:pPr>
        <w:jc w:val="both"/>
        <w:ind w:firstLine="648"/>
        <w:spacing w:after="0" w:line="243" w:lineRule="auto"/>
        <w:rPr>
          <w:sz w:val="20"/>
          <w:szCs w:val="20"/>
          <w:color w:val="auto"/>
        </w:rPr>
      </w:pPr>
      <w:r>
        <w:rPr>
          <w:rFonts w:ascii="Arial" w:cs="Arial" w:eastAsia="Arial" w:hAnsi="Arial"/>
          <w:sz w:val="20"/>
          <w:szCs w:val="20"/>
          <w:color w:val="auto"/>
        </w:rPr>
        <w:t xml:space="preserve">By my signature below, I, the Participant, hereby acknowledge receipt of this Grant Letter and the Agreement, including any special terms and conditions for my country in the Appendix attached thereto. I understand that the provisions of Schedule A and Schedule B are incorporated by reference into the Agreement and constitute a part of the Agreement. </w:t>
      </w:r>
      <w:r>
        <w:rPr>
          <w:rFonts w:ascii="Arial" w:cs="Arial" w:eastAsia="Arial" w:hAnsi="Arial"/>
          <w:sz w:val="20"/>
          <w:szCs w:val="20"/>
          <w:u w:val="single" w:color="auto"/>
          <w:color w:val="auto"/>
        </w:rPr>
        <w:t>By my signature below, I further agree to be bound by 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terms of the Plan and the Agreement, including but not limited to the terms of Schedule A and Schedule B herein. The Company reserves the right to treat the Award and the Agreement as cancelled, void and of no effect if the Participant fails to return a signed copy of the Grant Letter within thirty (30) days of receipt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800" w:val="left"/>
        </w:tabs>
        <w:rPr>
          <w:sz w:val="20"/>
          <w:szCs w:val="20"/>
          <w:color w:val="auto"/>
        </w:rPr>
      </w:pPr>
      <w:r>
        <w:rPr>
          <w:rFonts w:ascii="Arial" w:cs="Arial" w:eastAsia="Arial" w:hAnsi="Arial"/>
          <w:sz w:val="20"/>
          <w:szCs w:val="20"/>
          <w:color w:val="auto"/>
        </w:rPr>
        <w:t>Signature: ______________________________________</w:t>
      </w:r>
      <w:r>
        <w:rPr>
          <w:sz w:val="20"/>
          <w:szCs w:val="20"/>
          <w:color w:val="auto"/>
        </w:rPr>
        <w:tab/>
      </w:r>
      <w:r>
        <w:rPr>
          <w:rFonts w:ascii="Arial" w:cs="Arial" w:eastAsia="Arial" w:hAnsi="Arial"/>
          <w:sz w:val="16"/>
          <w:szCs w:val="16"/>
          <w:color w:val="auto"/>
        </w:rPr>
        <w:t>Date: ___________________</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622"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2012 Stock Incentive Plan</w:t>
      </w:r>
    </w:p>
    <w:p>
      <w:pPr>
        <w:jc w:val="center"/>
        <w:ind w:right="40"/>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(Performance-Based Award for Senior Officers)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Period and Performance Objectives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[Modify schedule as appropriate.]</w:t>
      </w:r>
    </w:p>
    <w:p>
      <w:pPr>
        <w:spacing w:after="0" w:line="229" w:lineRule="exact"/>
        <w:rPr>
          <w:sz w:val="20"/>
          <w:szCs w:val="20"/>
          <w:color w:val="auto"/>
        </w:rPr>
      </w:pPr>
    </w:p>
    <w:p>
      <w:pPr>
        <w:ind w:left="380" w:hanging="372"/>
        <w:spacing w:after="0"/>
        <w:tabs>
          <w:tab w:leader="none" w:pos="380" w:val="left"/>
        </w:tabs>
        <w:numPr>
          <w:ilvl w:val="0"/>
          <w:numId w:val="186"/>
        </w:numPr>
        <w:rPr>
          <w:rFonts w:ascii="Arial" w:cs="Arial" w:eastAsia="Arial" w:hAnsi="Arial"/>
          <w:sz w:val="21"/>
          <w:szCs w:val="21"/>
          <w:color w:val="auto"/>
        </w:rPr>
      </w:pPr>
      <w:r>
        <w:rPr>
          <w:rFonts w:ascii="Arial" w:cs="Arial" w:eastAsia="Arial" w:hAnsi="Arial"/>
          <w:sz w:val="20"/>
          <w:szCs w:val="20"/>
          <w:u w:val="single" w:color="auto"/>
          <w:color w:val="auto"/>
        </w:rPr>
        <w:t>Performance Period</w:t>
      </w:r>
      <w:r>
        <w:rPr>
          <w:rFonts w:ascii="Arial" w:cs="Arial" w:eastAsia="Arial" w:hAnsi="Arial"/>
          <w:sz w:val="20"/>
          <w:szCs w:val="20"/>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 Year Relative TSR Performance Period: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 Year Relative TSR Performance Period: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 Year Relative TSR Performance Period:</w:t>
      </w:r>
    </w:p>
    <w:p>
      <w:pPr>
        <w:spacing w:after="0" w:line="200" w:lineRule="exact"/>
        <w:rPr>
          <w:sz w:val="20"/>
          <w:szCs w:val="20"/>
          <w:color w:val="auto"/>
        </w:rPr>
      </w:pPr>
    </w:p>
    <w:p>
      <w:pPr>
        <w:spacing w:after="0" w:line="299" w:lineRule="exact"/>
        <w:rPr>
          <w:sz w:val="20"/>
          <w:szCs w:val="20"/>
          <w:color w:val="auto"/>
        </w:rPr>
      </w:pPr>
    </w:p>
    <w:p>
      <w:pPr>
        <w:ind w:left="380" w:hanging="372"/>
        <w:spacing w:after="0"/>
        <w:tabs>
          <w:tab w:leader="none" w:pos="380" w:val="left"/>
        </w:tabs>
        <w:numPr>
          <w:ilvl w:val="0"/>
          <w:numId w:val="187"/>
        </w:numPr>
        <w:rPr>
          <w:rFonts w:ascii="Arial" w:cs="Arial" w:eastAsia="Arial" w:hAnsi="Arial"/>
          <w:sz w:val="21"/>
          <w:szCs w:val="21"/>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Awards are earned based on the Relative TSR in each of the 1 Year TSR Performance Period, 2 Year Relative TSR Performance Period and 3 Year Relative TSR Performance Period. The Award shall be earned based upon a sliding scale that ranges from zero percent (0%) to two hundred percent (200%) of the Target. One hundred percent (100%) of the Award shall be earned if the Relative TSR equals zero (0). The number of Shares earned will increase or decrease, as applicable, by 2.5% for each percentage point that the Relative TSR is greater or less than zero (0), as illustrated in the table below. Notwithstanding the foregoing, no Award shall be earned and no Shares shall be vested in the event that the Relative TSR is less than negative thirty percent (-30%).</w:t>
      </w:r>
    </w:p>
    <w:p>
      <w:pPr>
        <w:spacing w:after="0" w:line="324" w:lineRule="exact"/>
        <w:rPr>
          <w:sz w:val="20"/>
          <w:szCs w:val="20"/>
          <w:color w:val="auto"/>
        </w:rPr>
      </w:pPr>
    </w:p>
    <w:tbl>
      <w:tblPr>
        <w:tblLayout w:type="fixed"/>
        <w:tblInd w:w="3150" w:type="dxa"/>
        <w:tblCellMar>
          <w:top w:w="0" w:type="dxa"/>
          <w:left w:w="0" w:type="dxa"/>
          <w:bottom w:w="0" w:type="dxa"/>
          <w:right w:w="0" w:type="dxa"/>
        </w:tblCellMar>
      </w:tblPr>
      <w:tr>
        <w:trPr>
          <w:trHeight w:val="274"/>
        </w:trPr>
        <w:tc>
          <w:tcPr>
            <w:tcW w:w="2560" w:type="dxa"/>
            <w:vAlign w:val="bottom"/>
            <w:tcBorders>
              <w:top w:val="single" w:sz="8" w:color="00000A"/>
              <w:left w:val="single" w:sz="8" w:color="00000A"/>
              <w:right w:val="single" w:sz="8" w:color="00000A"/>
            </w:tcBorders>
          </w:tcPr>
          <w:p>
            <w:pPr>
              <w:ind w:left="140"/>
              <w:spacing w:after="0"/>
              <w:rPr>
                <w:sz w:val="20"/>
                <w:szCs w:val="20"/>
                <w:color w:val="auto"/>
              </w:rPr>
            </w:pPr>
            <w:r>
              <w:rPr>
                <w:rFonts w:ascii="Arial" w:cs="Arial" w:eastAsia="Arial" w:hAnsi="Arial"/>
                <w:sz w:val="20"/>
                <w:szCs w:val="20"/>
                <w:b w:val="1"/>
                <w:bCs w:val="1"/>
                <w:color w:val="auto"/>
                <w:w w:val="95"/>
              </w:rPr>
              <w:t>Relative TSR Performance</w:t>
            </w:r>
          </w:p>
        </w:tc>
        <w:tc>
          <w:tcPr>
            <w:tcW w:w="2620" w:type="dxa"/>
            <w:vAlign w:val="bottom"/>
            <w:tcBorders>
              <w:top w:val="single" w:sz="8" w:color="00000A"/>
              <w:right w:val="single" w:sz="8" w:color="00000A"/>
            </w:tcBorders>
          </w:tcPr>
          <w:p>
            <w:pPr>
              <w:ind w:left="540"/>
              <w:spacing w:after="0"/>
              <w:rPr>
                <w:sz w:val="20"/>
                <w:szCs w:val="20"/>
                <w:color w:val="auto"/>
              </w:rPr>
            </w:pPr>
            <w:r>
              <w:rPr>
                <w:rFonts w:ascii="Arial" w:cs="Arial" w:eastAsia="Arial" w:hAnsi="Arial"/>
                <w:sz w:val="20"/>
                <w:szCs w:val="20"/>
                <w:b w:val="1"/>
                <w:bCs w:val="1"/>
                <w:color w:val="auto"/>
              </w:rPr>
              <w:t>Award Multiplier</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+40% or greater</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+20%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150%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-20%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4"/>
              </w:rPr>
              <w:t>50%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-30%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4"/>
              </w:rPr>
              <w:t>25%</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r>
        <w:trPr>
          <w:trHeight w:val="254"/>
        </w:trPr>
        <w:tc>
          <w:tcPr>
            <w:tcW w:w="2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Less than -30%</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2560" w:type="dxa"/>
            <w:vAlign w:val="bottom"/>
            <w:tcBorders>
              <w:left w:val="single" w:sz="8" w:color="00000A"/>
              <w:bottom w:val="single" w:sz="8" w:color="00000A"/>
              <w:right w:val="single" w:sz="8" w:color="00000A"/>
            </w:tcBorders>
          </w:tcPr>
          <w:p>
            <w:pPr>
              <w:spacing w:after="0"/>
              <w:rPr>
                <w:sz w:val="2"/>
                <w:szCs w:val="2"/>
                <w:color w:val="auto"/>
              </w:rPr>
            </w:pPr>
          </w:p>
        </w:tc>
        <w:tc>
          <w:tcPr>
            <w:tcW w:w="26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February 2016</w:t>
      </w:r>
    </w:p>
    <w:p>
      <w:pPr>
        <w:sectPr>
          <w:pgSz w:w="11900" w:h="16838" w:orient="portrait"/>
          <w:cols w:equalWidth="0" w:num="1">
            <w:col w:w="11420"/>
          </w:cols>
          <w:pgMar w:left="240" w:top="617" w:right="239" w:bottom="1440" w:gutter="0" w:footer="0" w:header="0"/>
        </w:sectPr>
      </w:pPr>
    </w:p>
    <w:bookmarkStart w:id="215" w:name="page216"/>
    <w:bookmarkEnd w:id="215"/>
    <w:p>
      <w:pPr>
        <w:ind w:left="5080"/>
        <w:spacing w:after="0"/>
        <w:rPr>
          <w:sz w:val="20"/>
          <w:szCs w:val="20"/>
          <w:color w:val="auto"/>
        </w:rPr>
      </w:pPr>
      <w:r>
        <w:rPr>
          <w:rFonts w:ascii="Arial" w:cs="Arial" w:eastAsia="Arial" w:hAnsi="Arial"/>
          <w:sz w:val="20"/>
          <w:szCs w:val="20"/>
          <w:b w:val="1"/>
          <w:bCs w:val="1"/>
          <w:color w:val="auto"/>
        </w:rPr>
        <w:t>QORVO, INC.</w:t>
      </w:r>
    </w:p>
    <w:p>
      <w:pPr>
        <w:spacing w:after="0" w:line="189"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2012 STOCK INCENTIVE PLAN</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Restricted Stock Unit Agreement</w:t>
      </w:r>
    </w:p>
    <w:p>
      <w:pPr>
        <w:ind w:left="4120"/>
        <w:spacing w:after="0"/>
        <w:rPr>
          <w:sz w:val="20"/>
          <w:szCs w:val="20"/>
          <w:color w:val="auto"/>
        </w:rPr>
      </w:pPr>
      <w:r>
        <w:rPr>
          <w:rFonts w:ascii="Arial" w:cs="Arial" w:eastAsia="Arial" w:hAnsi="Arial"/>
          <w:sz w:val="20"/>
          <w:szCs w:val="20"/>
          <w:b w:val="1"/>
          <w:bCs w:val="1"/>
          <w:color w:val="auto"/>
        </w:rPr>
        <w:t>(Director Annual/Supplemental RSU)</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THIS AGREEMENT (together with Schedule A, attached hereto, the “Agreement”) is made effective as of the Grant Date (as defined in Section 2 below) between QORVO, INC., a Delaware corporation (the “Company”), and </w:t>
      </w:r>
      <w:r>
        <w:rPr>
          <w:rFonts w:ascii="Arial" w:cs="Arial" w:eastAsia="Arial" w:hAnsi="Arial"/>
          <w:sz w:val="20"/>
          <w:szCs w:val="20"/>
          <w:b w:val="1"/>
          <w:bCs w:val="1"/>
          <w:color w:val="auto"/>
        </w:rPr>
        <w:t>_________________</w:t>
      </w:r>
      <w:r>
        <w:rPr>
          <w:rFonts w:ascii="Arial" w:cs="Arial" w:eastAsia="Arial" w:hAnsi="Arial"/>
          <w:sz w:val="20"/>
          <w:szCs w:val="20"/>
          <w:color w:val="auto"/>
        </w:rPr>
        <w:t>, a Director of the Company or an Affiliate (the “Participant”).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furtherance of the purposes of the Qorvo, Inc. 2012 Stock Incentive Plan (As Assumed by Qorvo, Inc. and Amended and Restated Effective January 1, 2015) (Formerly, the RF Micro Devices, Inc. 2012 Stock Incentive Plan), as it may be amended (the “Plan”), and in consideration of the services of the Participant and such other good and valuable consideration, the receipt and sufficiency of which are hereby acknowledged, the Company and the Participant hereby agree as follows:</w:t>
      </w:r>
    </w:p>
    <w:p>
      <w:pPr>
        <w:spacing w:after="0" w:line="205" w:lineRule="exact"/>
        <w:rPr>
          <w:sz w:val="20"/>
          <w:szCs w:val="20"/>
          <w:color w:val="auto"/>
        </w:rPr>
      </w:pPr>
    </w:p>
    <w:p>
      <w:pPr>
        <w:jc w:val="both"/>
        <w:ind w:firstLine="656"/>
        <w:spacing w:after="0" w:line="314" w:lineRule="auto"/>
        <w:tabs>
          <w:tab w:leader="none" w:pos="144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the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59" w:lineRule="exact"/>
        <w:rPr>
          <w:rFonts w:ascii="Arial" w:cs="Arial" w:eastAsia="Arial" w:hAnsi="Arial"/>
          <w:sz w:val="18"/>
          <w:szCs w:val="18"/>
          <w:color w:val="auto"/>
        </w:rPr>
      </w:pPr>
    </w:p>
    <w:p>
      <w:pPr>
        <w:ind w:left="1460" w:hanging="804"/>
        <w:spacing w:after="0"/>
        <w:tabs>
          <w:tab w:leader="none" w:pos="146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Terms of Award</w:t>
      </w:r>
      <w:r>
        <w:rPr>
          <w:rFonts w:ascii="Arial" w:cs="Arial" w:eastAsia="Arial" w:hAnsi="Arial"/>
          <w:sz w:val="20"/>
          <w:szCs w:val="20"/>
          <w:color w:val="auto"/>
        </w:rPr>
        <w:t>. The following terms used in this Agreement shall have the meanings set forth in this Section 2:</w:t>
      </w:r>
    </w:p>
    <w:p>
      <w:pPr>
        <w:spacing w:after="0" w:line="242" w:lineRule="exact"/>
        <w:rPr>
          <w:rFonts w:ascii="Arial" w:cs="Arial" w:eastAsia="Arial" w:hAnsi="Arial"/>
          <w:sz w:val="20"/>
          <w:szCs w:val="20"/>
          <w:color w:val="auto"/>
        </w:rPr>
      </w:pPr>
    </w:p>
    <w:p>
      <w:pPr>
        <w:ind w:left="2100" w:hanging="795"/>
        <w:spacing w:after="0"/>
        <w:tabs>
          <w:tab w:leader="none" w:pos="210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“Participant” is _______________.</w:t>
      </w:r>
    </w:p>
    <w:p>
      <w:pPr>
        <w:spacing w:after="0" w:line="242" w:lineRule="exact"/>
        <w:rPr>
          <w:rFonts w:ascii="Arial" w:cs="Arial" w:eastAsia="Arial" w:hAnsi="Arial"/>
          <w:sz w:val="20"/>
          <w:szCs w:val="20"/>
          <w:color w:val="auto"/>
        </w:rPr>
      </w:pPr>
    </w:p>
    <w:p>
      <w:pPr>
        <w:ind w:left="2100" w:hanging="795"/>
        <w:spacing w:after="0"/>
        <w:tabs>
          <w:tab w:leader="none" w:pos="2100"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“Grant Date” is ______________.</w:t>
      </w:r>
    </w:p>
    <w:p>
      <w:pPr>
        <w:spacing w:after="0" w:line="242" w:lineRule="exact"/>
        <w:rPr>
          <w:rFonts w:ascii="Arial" w:cs="Arial" w:eastAsia="Arial" w:hAnsi="Arial"/>
          <w:sz w:val="20"/>
          <w:szCs w:val="20"/>
          <w:color w:val="auto"/>
        </w:rPr>
      </w:pPr>
    </w:p>
    <w:p>
      <w:pPr>
        <w:ind w:left="660" w:right="20" w:firstLine="645"/>
        <w:spacing w:after="0" w:line="347" w:lineRule="auto"/>
        <w:tabs>
          <w:tab w:leader="none" w:pos="209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“Restriction Period” is the period beginning on the Grant Date and ending on such date or dates and occurrence of such conditions as described in Schedule A, which is attached hereto and expressly made a part of this Agreement.</w:t>
      </w:r>
    </w:p>
    <w:p>
      <w:pPr>
        <w:spacing w:after="0" w:line="130" w:lineRule="exact"/>
        <w:rPr>
          <w:rFonts w:ascii="Arial" w:cs="Arial" w:eastAsia="Arial" w:hAnsi="Arial"/>
          <w:sz w:val="18"/>
          <w:szCs w:val="18"/>
          <w:color w:val="auto"/>
        </w:rPr>
      </w:pPr>
    </w:p>
    <w:p>
      <w:pPr>
        <w:ind w:left="660" w:firstLine="645"/>
        <w:spacing w:after="0" w:line="289" w:lineRule="auto"/>
        <w:tabs>
          <w:tab w:leader="none" w:pos="2105" w:val="left"/>
        </w:tabs>
        <w:numPr>
          <w:ilvl w:val="1"/>
          <w:numId w:val="188"/>
        </w:numPr>
        <w:rPr>
          <w:rFonts w:ascii="Arial" w:cs="Arial" w:eastAsia="Arial" w:hAnsi="Arial"/>
          <w:sz w:val="20"/>
          <w:szCs w:val="20"/>
          <w:color w:val="auto"/>
        </w:rPr>
      </w:pPr>
      <w:r>
        <w:rPr>
          <w:rFonts w:ascii="Arial" w:cs="Arial" w:eastAsia="Arial" w:hAnsi="Arial"/>
          <w:sz w:val="20"/>
          <w:szCs w:val="20"/>
          <w:color w:val="auto"/>
        </w:rPr>
        <w:t>The number of shares of Common Stock subject to the award of Restricted Stock Units granted under this Agreement shall be __________ shares (the “Shares”).</w:t>
      </w:r>
    </w:p>
    <w:p>
      <w:pPr>
        <w:spacing w:after="0" w:line="175" w:lineRule="exact"/>
        <w:rPr>
          <w:rFonts w:ascii="Arial" w:cs="Arial" w:eastAsia="Arial" w:hAnsi="Arial"/>
          <w:sz w:val="20"/>
          <w:szCs w:val="20"/>
          <w:color w:val="auto"/>
        </w:rPr>
      </w:pPr>
    </w:p>
    <w:p>
      <w:pPr>
        <w:jc w:val="both"/>
        <w:ind w:firstLine="656"/>
        <w:spacing w:after="0" w:line="310" w:lineRule="auto"/>
        <w:tabs>
          <w:tab w:leader="none" w:pos="144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xml:space="preserve">. Subject to the terms of this Agreement and the Plan, the Company hereby grants the Participant an award of Restricted Stock Units (the “Award”) for that number of Shares as is set forth in Section 2. </w:t>
      </w:r>
      <w:r>
        <w:rPr>
          <w:rFonts w:ascii="Arial" w:cs="Arial" w:eastAsia="Arial" w:hAnsi="Arial"/>
          <w:sz w:val="18"/>
          <w:szCs w:val="18"/>
          <w:u w:val="single" w:color="auto"/>
          <w:color w:val="auto"/>
        </w:rPr>
        <w:t>The Participant expressly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acknowledges that the terms of Schedule A shall be incorporated herein by reference and shall constitute part of this Agreement. The Company and the Participant further acknowledge that the Company’s signature on the signature page hereof, and the Participant’s signature on the Grant Letter contained in Schedule A, shall constitute their acceptance of all of the terms of this Agreement</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jc w:val="both"/>
        <w:ind w:firstLine="656"/>
        <w:spacing w:after="0" w:line="285" w:lineRule="auto"/>
        <w:tabs>
          <w:tab w:leader="none" w:pos="1445"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The Participant or his or her legal representatives, legatees or distributees shall not be deemed to be the holder of any Shares subject to the Award and shall not have any dividend rights (except as otherwise provided in Section 3 of Schedule A), voting rights or other rights</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August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0" w:right="239" w:bottom="1440" w:gutter="0" w:footer="0" w:header="0"/>
        </w:sectPr>
      </w:pPr>
    </w:p>
    <w:bookmarkStart w:id="216" w:name="page217"/>
    <w:bookmarkEnd w:id="216"/>
    <w:p>
      <w:pPr>
        <w:jc w:val="both"/>
        <w:spacing w:after="0" w:line="278" w:lineRule="auto"/>
        <w:rPr>
          <w:sz w:val="20"/>
          <w:szCs w:val="20"/>
          <w:color w:val="auto"/>
        </w:rPr>
      </w:pPr>
      <w:r>
        <w:rPr>
          <w:rFonts w:ascii="Arial" w:cs="Arial" w:eastAsia="Arial" w:hAnsi="Arial"/>
          <w:sz w:val="20"/>
          <w:szCs w:val="20"/>
          <w:color w:val="auto"/>
        </w:rPr>
        <w:t>as a stockholder unless and until (and then only to the extent that) the Award has vested and certificates for such Shares have been issued and delivered to him, her or them (or, in the case of uncertificated shares, other written evidence of ownership in accordance with Applicable Law shall have been provided).</w:t>
      </w:r>
    </w:p>
    <w:p>
      <w:pPr>
        <w:spacing w:after="0" w:line="187" w:lineRule="exact"/>
        <w:rPr>
          <w:sz w:val="20"/>
          <w:szCs w:val="20"/>
          <w:color w:val="auto"/>
        </w:rPr>
      </w:pPr>
    </w:p>
    <w:p>
      <w:pPr>
        <w:jc w:val="both"/>
        <w:ind w:firstLine="656"/>
        <w:spacing w:after="0" w:line="285" w:lineRule="auto"/>
        <w:tabs>
          <w:tab w:leader="none" w:pos="1445"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Vesting and Earning of Award</w:t>
      </w:r>
      <w:r>
        <w:rPr>
          <w:rFonts w:ascii="Arial" w:cs="Arial" w:eastAsia="Arial" w:hAnsi="Arial"/>
          <w:sz w:val="19"/>
          <w:szCs w:val="19"/>
          <w:color w:val="auto"/>
        </w:rPr>
        <w:t xml:space="preserve">. Subject to the terms of the Plan and this Agreement, the Award shall be deemed vested and earned, and the Shares subject to the Award shall be distributable as provided in Section 7 herein, upon such date or dates, and subject to such conditions, as are described in this Agreement, including Section 2 of Schedule A. Without limiting the effect of the foregoing, the Shares subject to the Award may vest in installments over a period of time, if so provided in Schedule A. </w:t>
      </w:r>
      <w:r>
        <w:rPr>
          <w:rFonts w:ascii="Arial" w:cs="Arial" w:eastAsia="Arial" w:hAnsi="Arial"/>
          <w:sz w:val="19"/>
          <w:szCs w:val="19"/>
          <w:u w:val="single" w:color="auto"/>
          <w:color w:val="auto"/>
        </w:rPr>
        <w:t>The Participant expressly acknowledges that</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Award shall vest only upon such terms and conditions as are provided in this Agreement (including but not limited to Schedule A) and otherwise in accordance with the terms of the Plan</w:t>
      </w:r>
      <w:r>
        <w:rPr>
          <w:rFonts w:ascii="Arial" w:cs="Arial" w:eastAsia="Arial" w:hAnsi="Arial"/>
          <w:sz w:val="19"/>
          <w:szCs w:val="19"/>
          <w:b w:val="1"/>
          <w:bCs w:val="1"/>
          <w:color w:val="auto"/>
        </w:rPr>
        <w:t>.</w:t>
      </w:r>
      <w:r>
        <w:rPr>
          <w:rFonts w:ascii="Arial" w:cs="Arial" w:eastAsia="Arial" w:hAnsi="Arial"/>
          <w:sz w:val="19"/>
          <w:szCs w:val="19"/>
          <w:color w:val="auto"/>
        </w:rPr>
        <w:t xml:space="preserve"> Without limiting the effect of the foregoing, the Participant understands and agrees that the Administrator may delay the vesting of the Award (or portion thereof) and the issuance of the underlying Shares in order to comply with Applicable Law or applicable policies of the Company implemented to ensure compliance with such laws (including but not limited to insider trading provisions and the Company's insider trading policy); provided, however, that any such delay in vesting of the Award or issuance of Shares shall not apply to any Shares subject to an effective Rule 10b5-1 trading plan. The Administrator has sole authority to determine whether and to what degree the Award has vested and been earned and is payable and to interpret the terms and conditions of this Agreement and the Plan.</w:t>
      </w:r>
    </w:p>
    <w:p>
      <w:pPr>
        <w:spacing w:after="0" w:line="181" w:lineRule="exact"/>
        <w:rPr>
          <w:rFonts w:ascii="Arial" w:cs="Arial" w:eastAsia="Arial" w:hAnsi="Arial"/>
          <w:sz w:val="19"/>
          <w:szCs w:val="19"/>
          <w:color w:val="auto"/>
        </w:rPr>
      </w:pPr>
    </w:p>
    <w:p>
      <w:pPr>
        <w:jc w:val="both"/>
        <w:ind w:firstLine="656"/>
        <w:spacing w:after="0" w:line="304" w:lineRule="auto"/>
        <w:tabs>
          <w:tab w:leader="none" w:pos="144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Forfeiture of Award</w:t>
      </w:r>
      <w:r>
        <w:rPr>
          <w:rFonts w:ascii="Arial" w:cs="Arial" w:eastAsia="Arial" w:hAnsi="Arial"/>
          <w:sz w:val="18"/>
          <w:szCs w:val="18"/>
          <w:color w:val="auto"/>
        </w:rPr>
        <w:t>. Except as may be otherwise provided in the Plan or this Agreement (including but not limited to Schedule A), in the event of the termination of service of the Participant for any reason (whether by the Company or the Participant, and whether voluntary or involuntary) and all or part of the Award has not been earned or vested as of the Participant’s Termination Date pursuant to the terms of this Agreement, then the Award, to the extent not vested as of the Participant’s Termination Date, shall be forfeited immediately upon such termination, and the Participant shall have no further rights with respect to the Award or the Shares underlying that portion of the Award that has not yet been earned and vested. The Participant expressly acknowledges and agrees that the termination of his or her service shall (except as may otherwise be provided in this Agreement or the Plan) result in forfeiture of the Award and the Shares to the extent the Award has not been earned and vested as of his or her Termination Date.</w:t>
      </w:r>
    </w:p>
    <w:p>
      <w:pPr>
        <w:spacing w:after="0" w:line="171" w:lineRule="exact"/>
        <w:rPr>
          <w:rFonts w:ascii="Arial" w:cs="Arial" w:eastAsia="Arial" w:hAnsi="Arial"/>
          <w:sz w:val="18"/>
          <w:szCs w:val="18"/>
          <w:color w:val="auto"/>
        </w:rPr>
      </w:pPr>
    </w:p>
    <w:p>
      <w:pPr>
        <w:jc w:val="both"/>
        <w:ind w:firstLine="656"/>
        <w:spacing w:after="0" w:line="285" w:lineRule="auto"/>
        <w:tabs>
          <w:tab w:leader="none" w:pos="1445"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Settlement of Award</w:t>
      </w:r>
      <w:r>
        <w:rPr>
          <w:rFonts w:ascii="Arial" w:cs="Arial" w:eastAsia="Arial" w:hAnsi="Arial"/>
          <w:sz w:val="19"/>
          <w:szCs w:val="19"/>
          <w:color w:val="auto"/>
        </w:rPr>
        <w:t>. The Award, if earned in accordance with the terms of this Agreement, shall be payable in whole shares of Common Stock. The total number of Shares that may be acquired upon vesting of the Award (or portion thereof) shall be rounded down to the nearest whole share. A certificate or certificates for the Shares subject to the Award or portion thereof shall be issued in the name of the Participant or his or her beneficiary (or, in the case of uncertificated shares, other written evidence of ownership in accordance with Applicable Law shall be provided) as soon as practicable after, and only to the extent that, the Award or portion thereof has vested and is distributable. Shares of Common Stock or any other benefit subject to the Award shall, upon vesting of the Award, be issued and distributed to the Participant (or his or her beneficiary) no later than the later of (a) the fifteenth (15th) day of the third month following the Participant’s first taxable year in which the amount is no longer subject to a substantial risk of forfeiture, or (b) the fifteenth (15th) day of the third month following the end of the Company’s first taxable year in which the amount is no longer subject to a substantial risk of forfeiture, or otherwise in accordance with Code Section 409A.</w:t>
      </w:r>
    </w:p>
    <w:p>
      <w:pPr>
        <w:spacing w:after="0" w:line="187" w:lineRule="exact"/>
        <w:rPr>
          <w:rFonts w:ascii="Arial" w:cs="Arial" w:eastAsia="Arial" w:hAnsi="Arial"/>
          <w:sz w:val="19"/>
          <w:szCs w:val="19"/>
          <w:color w:val="auto"/>
        </w:rPr>
      </w:pPr>
    </w:p>
    <w:p>
      <w:pPr>
        <w:jc w:val="both"/>
        <w:ind w:firstLine="656"/>
        <w:spacing w:after="0" w:line="278" w:lineRule="auto"/>
        <w:tabs>
          <w:tab w:leader="none" w:pos="1445"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No Right of Continued Service</w:t>
      </w:r>
      <w:r>
        <w:rPr>
          <w:rFonts w:ascii="Arial" w:cs="Arial" w:eastAsia="Arial" w:hAnsi="Arial"/>
          <w:sz w:val="20"/>
          <w:szCs w:val="20"/>
          <w:color w:val="auto"/>
        </w:rPr>
        <w:t>. Nothing contained in this Agreement or the Plan shall confer upon the Participant any right to continue in the service of the Company or an Affiliate or to interfere in any way with the right of the Company or its stockholders to terminate the Participant’s service at any</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August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9" w:right="239" w:bottom="1440" w:gutter="0" w:footer="0" w:header="0"/>
        </w:sectPr>
      </w:pPr>
    </w:p>
    <w:bookmarkStart w:id="217" w:name="page218"/>
    <w:bookmarkEnd w:id="217"/>
    <w:p>
      <w:pPr>
        <w:jc w:val="both"/>
        <w:spacing w:after="0" w:line="299" w:lineRule="auto"/>
        <w:rPr>
          <w:sz w:val="20"/>
          <w:szCs w:val="20"/>
          <w:color w:val="auto"/>
        </w:rPr>
      </w:pPr>
      <w:r>
        <w:rPr>
          <w:rFonts w:ascii="Arial" w:cs="Arial" w:eastAsia="Arial" w:hAnsi="Arial"/>
          <w:sz w:val="19"/>
          <w:szCs w:val="19"/>
          <w:color w:val="auto"/>
        </w:rPr>
        <w:t>time. Except as otherwise expressly provided in the Plan and this Agreement (including but not limited to Schedule A), all rights of the Participant under the Plan with respect to the unvested portion of his or her Award shall terminate upon the termination of service of the Participant with the Company or an Affiliate. The grant of the Award does not create any obligation to grant further awards.</w:t>
      </w:r>
    </w:p>
    <w:p>
      <w:pPr>
        <w:spacing w:after="0" w:line="169" w:lineRule="exact"/>
        <w:rPr>
          <w:sz w:val="20"/>
          <w:szCs w:val="20"/>
          <w:color w:val="auto"/>
        </w:rPr>
      </w:pPr>
    </w:p>
    <w:p>
      <w:pPr>
        <w:jc w:val="both"/>
        <w:ind w:firstLine="656"/>
        <w:spacing w:after="0" w:line="274" w:lineRule="auto"/>
        <w:tabs>
          <w:tab w:leader="none" w:pos="1445"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Nontransferability of Award and Shares</w:t>
      </w:r>
      <w:r>
        <w:rPr>
          <w:rFonts w:ascii="Arial" w:cs="Arial" w:eastAsia="Arial" w:hAnsi="Arial"/>
          <w:sz w:val="20"/>
          <w:szCs w:val="20"/>
          <w:color w:val="auto"/>
        </w:rPr>
        <w:t>. The Award shall not be transferable (including by sale, assignment, pledge or hypothecation) other than by will or the laws of intestate succession. The designation of a beneficiary in accordance with the Plan does not constitute a transfer. The Participant shall not sell, transfer, assign, pledge or otherwise encumber the Shares subject to the Award until such Shares have been issued and delivered to the Participant.</w:t>
      </w:r>
    </w:p>
    <w:p>
      <w:pPr>
        <w:spacing w:after="0" w:line="192" w:lineRule="exact"/>
        <w:rPr>
          <w:rFonts w:ascii="Arial" w:cs="Arial" w:eastAsia="Arial" w:hAnsi="Arial"/>
          <w:sz w:val="20"/>
          <w:szCs w:val="20"/>
          <w:color w:val="auto"/>
        </w:rPr>
      </w:pPr>
    </w:p>
    <w:p>
      <w:pPr>
        <w:ind w:left="1560" w:hanging="904"/>
        <w:spacing w:after="0"/>
        <w:tabs>
          <w:tab w:leader="none" w:pos="156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Withholding; Tax Consequences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5"/>
        <w:spacing w:after="0" w:line="285" w:lineRule="auto"/>
        <w:tabs>
          <w:tab w:leader="none" w:pos="217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Participant acknowledges that the Company shall require the Participant to pay the Company the amount, if any, of any federal, state, local, foreign or other tax or other amount required by any governmental authority to be withheld and paid over by the Company to such authority for the account of the Participant, and the Participant agrees, as a condition to the grant of the Award and delivery of any Shares, to satisfy such obligations. Notwithstanding the foregoing, the Administrator may in its discretion establish procedures to permit the Participant to satisfy such obligation in whole or in part, and any local, state, federal, foreign or other income tax obligations relating to the Award, by electing (the “election”) to have the Company withhold shares of Common Stock from the Shares to which the recipient is otherwise entitled. The number of Shares to be withheld shall have a Fair Market Value as of the date that the amount of tax to be withheld is determined as nearly equal as possible to (but not exceeding) the amount of such obligations being satisfied. Each election must be made in writing to the Administrator in accordance with election procedures established by the Administrator.</w:t>
      </w:r>
    </w:p>
    <w:p>
      <w:pPr>
        <w:spacing w:after="0" w:line="187" w:lineRule="exact"/>
        <w:rPr>
          <w:rFonts w:ascii="Arial" w:cs="Arial" w:eastAsia="Arial" w:hAnsi="Arial"/>
          <w:sz w:val="19"/>
          <w:szCs w:val="19"/>
          <w:color w:val="auto"/>
        </w:rPr>
      </w:pPr>
    </w:p>
    <w:p>
      <w:pPr>
        <w:jc w:val="both"/>
        <w:ind w:left="660" w:firstLine="645"/>
        <w:spacing w:after="0" w:line="286" w:lineRule="auto"/>
        <w:tabs>
          <w:tab w:leader="none" w:pos="2187"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Participant acknowledges that the Company has made no warranties or representations to the Participant with respect to the tax consequences (including but not limited to income tax consequences) with respect to the transactions contemplated by this Agreement, and the Participant is in no manner relying on the Company or its representatives for an assessment of such tax consequences. The Participant acknowledges that there may be adverse tax consequences upon the grant or vesting of the Award and/or the acquisition or disposition of the Shares subject to the Award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185" w:lineRule="exact"/>
        <w:rPr>
          <w:rFonts w:ascii="Arial" w:cs="Arial" w:eastAsia="Arial" w:hAnsi="Arial"/>
          <w:sz w:val="19"/>
          <w:szCs w:val="19"/>
          <w:color w:val="auto"/>
        </w:rPr>
      </w:pPr>
    </w:p>
    <w:p>
      <w:pPr>
        <w:jc w:val="both"/>
        <w:ind w:firstLine="656"/>
        <w:spacing w:after="0" w:line="314" w:lineRule="auto"/>
        <w:tabs>
          <w:tab w:leader="none" w:pos="1536"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59" w:lineRule="exact"/>
        <w:rPr>
          <w:rFonts w:ascii="Arial" w:cs="Arial" w:eastAsia="Arial" w:hAnsi="Arial"/>
          <w:sz w:val="18"/>
          <w:szCs w:val="18"/>
          <w:color w:val="auto"/>
        </w:rPr>
      </w:pPr>
    </w:p>
    <w:p>
      <w:pPr>
        <w:jc w:val="both"/>
        <w:ind w:firstLine="656"/>
        <w:spacing w:after="0" w:line="378" w:lineRule="auto"/>
        <w:tabs>
          <w:tab w:leader="none" w:pos="1544"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Superseding Agreement; Successors and Assigns</w:t>
      </w:r>
      <w:r>
        <w:rPr>
          <w:rFonts w:ascii="Arial" w:cs="Arial" w:eastAsia="Arial" w:hAnsi="Arial"/>
          <w:sz w:val="16"/>
          <w:szCs w:val="16"/>
          <w:color w:val="auto"/>
        </w:rPr>
        <w:t>. This Agreement supersedes any statements, representations or agreements of the Company with respect to the grant of the Award, any other equity-based awards or any related rights, and the Participant hereby waives any rights or claims related to any such statements, representations or agreements. Except as may be otherwise provided in the Plan, this</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August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80" w:right="239" w:bottom="1440" w:gutter="0" w:footer="0" w:header="0"/>
        </w:sectPr>
      </w:pPr>
    </w:p>
    <w:bookmarkStart w:id="218" w:name="page219"/>
    <w:bookmarkEnd w:id="218"/>
    <w:p>
      <w:pPr>
        <w:jc w:val="both"/>
        <w:spacing w:after="0" w:line="273" w:lineRule="auto"/>
        <w:rPr>
          <w:sz w:val="20"/>
          <w:szCs w:val="20"/>
          <w:color w:val="auto"/>
        </w:rPr>
      </w:pPr>
      <w:r>
        <w:rPr>
          <w:rFonts w:ascii="Arial" w:cs="Arial" w:eastAsia="Arial" w:hAnsi="Arial"/>
          <w:sz w:val="20"/>
          <w:szCs w:val="20"/>
          <w:color w:val="auto"/>
        </w:rPr>
        <w:t>Agreement does not supersede or amend any existing Change in Control Agreement, Inventions, Confidentiality and Nonsolicitation Agreement, Noncompetition Agreement, Severance Agreement, Employment Agreement or any other similar agreement between the Participant and the Company,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91" w:lineRule="exact"/>
        <w:rPr>
          <w:sz w:val="20"/>
          <w:szCs w:val="20"/>
          <w:color w:val="auto"/>
        </w:rPr>
      </w:pPr>
    </w:p>
    <w:p>
      <w:pPr>
        <w:jc w:val="both"/>
        <w:ind w:firstLine="656"/>
        <w:spacing w:after="0" w:line="278" w:lineRule="auto"/>
        <w:tabs>
          <w:tab w:leader="none" w:pos="1544"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w:t>
      </w:r>
    </w:p>
    <w:p>
      <w:pPr>
        <w:spacing w:after="0" w:line="186" w:lineRule="exact"/>
        <w:rPr>
          <w:rFonts w:ascii="Arial" w:cs="Arial" w:eastAsia="Arial" w:hAnsi="Arial"/>
          <w:sz w:val="20"/>
          <w:szCs w:val="20"/>
          <w:color w:val="auto"/>
        </w:rPr>
      </w:pPr>
    </w:p>
    <w:p>
      <w:pPr>
        <w:jc w:val="both"/>
        <w:ind w:firstLine="656"/>
        <w:spacing w:after="0" w:line="310" w:lineRule="auto"/>
        <w:tabs>
          <w:tab w:leader="none" w:pos="1544"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federal securities laws and Code Section 409A). The waiver by the Company of a breach of any provision of this Agreement by the Participant shall not operate or be construed as a waiver of any subsequent breach by the Participant.</w:t>
      </w:r>
    </w:p>
    <w:p>
      <w:pPr>
        <w:spacing w:after="0" w:line="162" w:lineRule="exact"/>
        <w:rPr>
          <w:rFonts w:ascii="Arial" w:cs="Arial" w:eastAsia="Arial" w:hAnsi="Arial"/>
          <w:sz w:val="18"/>
          <w:szCs w:val="18"/>
          <w:color w:val="auto"/>
        </w:rPr>
      </w:pPr>
    </w:p>
    <w:p>
      <w:pPr>
        <w:jc w:val="both"/>
        <w:ind w:firstLine="656"/>
        <w:spacing w:after="0" w:line="272" w:lineRule="auto"/>
        <w:tabs>
          <w:tab w:leader="none" w:pos="1544"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191" w:lineRule="exact"/>
        <w:rPr>
          <w:rFonts w:ascii="Arial" w:cs="Arial" w:eastAsia="Arial" w:hAnsi="Arial"/>
          <w:sz w:val="20"/>
          <w:szCs w:val="20"/>
          <w:color w:val="auto"/>
        </w:rPr>
      </w:pPr>
    </w:p>
    <w:p>
      <w:pPr>
        <w:ind w:right="20" w:firstLine="656"/>
        <w:spacing w:after="0" w:line="316" w:lineRule="auto"/>
        <w:tabs>
          <w:tab w:leader="none" w:pos="1544"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53" w:lineRule="exact"/>
        <w:rPr>
          <w:rFonts w:ascii="Arial" w:cs="Arial" w:eastAsia="Arial" w:hAnsi="Arial"/>
          <w:sz w:val="19"/>
          <w:szCs w:val="19"/>
          <w:color w:val="auto"/>
        </w:rPr>
      </w:pPr>
    </w:p>
    <w:p>
      <w:pPr>
        <w:jc w:val="both"/>
        <w:ind w:firstLine="656"/>
        <w:spacing w:after="0" w:line="284" w:lineRule="auto"/>
        <w:tabs>
          <w:tab w:leader="none" w:pos="1544"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Restrictions on Award and Shares</w:t>
      </w:r>
      <w:r>
        <w:rPr>
          <w:rFonts w:ascii="Arial" w:cs="Arial" w:eastAsia="Arial" w:hAnsi="Arial"/>
          <w:sz w:val="19"/>
          <w:szCs w:val="19"/>
          <w:color w:val="auto"/>
        </w:rPr>
        <w:t>. The Company may impose such restrictions on the Award and any Shares or other benefits underlying the Award as it may deem advisable, including without limitation restrictions under the federal securities laws, the requirements of any stock exchange or similar organization and any blue sky, state or foreign securities laws applicable to such Award or Shares. Notwithstanding any other provision in the Plan or this Agreement to the contrary, the Company shall not be obligated to issue, deliver or transfer shares of Common Stock, to make any other distribution of benefits, or to take any other action, unless such delivery, distribution or action is in compliance with all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 The Administrator may delay the right to receive or dispose of shares of Common Stock (or other benefits) upon settlement of the Award at any time if the Administrator determines that allowing issuance of shares of Common Stock (or distribution of other benefits) would violate any federal, state or foreign securities laws or applicable policies of the Company, and the Administrator may provide in its discretion that any time periods to receive shares of Common Stock (or other benefits) subject to the Award are tolled or extended during a period of suspension or delay (subject to any Code Section 409A considerations); provided, however, that any such delay,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August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9" w:right="23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suspension, tolling or extension shall not apply to any Shares subject to an effective Rule 10b5-1 trading plan.</w:t>
      </w:r>
    </w:p>
    <w:p>
      <w:pPr>
        <w:spacing w:after="0" w:line="243" w:lineRule="exact"/>
        <w:rPr>
          <w:sz w:val="20"/>
          <w:szCs w:val="20"/>
          <w:color w:val="auto"/>
        </w:rPr>
      </w:pPr>
    </w:p>
    <w:p>
      <w:pPr>
        <w:jc w:val="both"/>
        <w:ind w:firstLine="656"/>
        <w:spacing w:after="0" w:line="322" w:lineRule="auto"/>
        <w:tabs>
          <w:tab w:leader="none" w:pos="154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52" w:lineRule="exact"/>
        <w:rPr>
          <w:rFonts w:ascii="Arial" w:cs="Arial" w:eastAsia="Arial" w:hAnsi="Arial"/>
          <w:sz w:val="18"/>
          <w:szCs w:val="18"/>
          <w:color w:val="auto"/>
        </w:rPr>
      </w:pPr>
    </w:p>
    <w:p>
      <w:pPr>
        <w:jc w:val="both"/>
        <w:ind w:firstLine="656"/>
        <w:spacing w:after="0" w:line="273" w:lineRule="auto"/>
        <w:tabs>
          <w:tab w:leader="none" w:pos="1544"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this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August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9" w:right="239" w:bottom="1440" w:gutter="0" w:footer="0" w:header="0"/>
        </w:sectPr>
      </w:pPr>
    </w:p>
    <w:bookmarkStart w:id="220" w:name="page221"/>
    <w:bookmarkEnd w:id="220"/>
    <w:p>
      <w:pPr>
        <w:ind w:right="500"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Grant Date stated herein.</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rPr>
          <w:sz w:val="20"/>
          <w:szCs w:val="20"/>
          <w:color w:val="auto"/>
        </w:rPr>
      </w:pPr>
      <w:r>
        <w:rPr>
          <w:rFonts w:ascii="Arial" w:cs="Arial" w:eastAsia="Arial" w:hAnsi="Arial"/>
          <w:sz w:val="20"/>
          <w:szCs w:val="20"/>
          <w:color w:val="auto"/>
        </w:rPr>
        <w:t>Attest: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Jeffrey C. Howland</w:t>
      </w:r>
    </w:p>
    <w:p>
      <w:pPr>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August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6" w:right="239" w:bottom="1440" w:gutter="0" w:footer="0" w:header="0"/>
        </w:sectPr>
      </w:pPr>
    </w:p>
    <w:bookmarkStart w:id="221" w:name="page222"/>
    <w:bookmarkEnd w:id="221"/>
    <w:p>
      <w:pPr>
        <w:ind w:left="5240"/>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2012 Stock Incentive Plan</w:t>
      </w:r>
    </w:p>
    <w:p>
      <w:pPr>
        <w:ind w:left="4300"/>
        <w:spacing w:after="0"/>
        <w:rPr>
          <w:sz w:val="20"/>
          <w:szCs w:val="20"/>
          <w:color w:val="auto"/>
        </w:rPr>
      </w:pPr>
      <w:r>
        <w:rPr>
          <w:rFonts w:ascii="Arial" w:cs="Arial" w:eastAsia="Arial" w:hAnsi="Arial"/>
          <w:sz w:val="20"/>
          <w:szCs w:val="20"/>
          <w:b w:val="1"/>
          <w:bCs w:val="1"/>
          <w:color w:val="auto"/>
        </w:rPr>
        <w:t>Restricted Stock Unit Agreement</w:t>
      </w:r>
    </w:p>
    <w:p>
      <w:pPr>
        <w:ind w:left="4120"/>
        <w:spacing w:after="0"/>
        <w:rPr>
          <w:sz w:val="20"/>
          <w:szCs w:val="20"/>
          <w:color w:val="auto"/>
        </w:rPr>
      </w:pPr>
      <w:r>
        <w:rPr>
          <w:rFonts w:ascii="Arial" w:cs="Arial" w:eastAsia="Arial" w:hAnsi="Arial"/>
          <w:sz w:val="20"/>
          <w:szCs w:val="20"/>
          <w:b w:val="1"/>
          <w:bCs w:val="1"/>
          <w:color w:val="auto"/>
        </w:rPr>
        <w:t>(Director Annual/Supplemental RSU)</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35" w:lineRule="exact"/>
        <w:rPr>
          <w:sz w:val="20"/>
          <w:szCs w:val="20"/>
          <w:color w:val="auto"/>
        </w:rPr>
      </w:pPr>
    </w:p>
    <w:p>
      <w:pPr>
        <w:jc w:val="both"/>
        <w:ind w:firstLine="656"/>
        <w:spacing w:after="0" w:line="273" w:lineRule="auto"/>
        <w:tabs>
          <w:tab w:leader="none" w:pos="1445"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Grant Terms</w:t>
      </w:r>
      <w:r>
        <w:rPr>
          <w:rFonts w:ascii="Arial" w:cs="Arial" w:eastAsia="Arial" w:hAnsi="Arial"/>
          <w:sz w:val="20"/>
          <w:szCs w:val="20"/>
          <w:color w:val="auto"/>
        </w:rPr>
        <w:t>. Pursuant to the terms and conditions of the Company’s 2012 Stock Incentive Plan, as it may be amended (the “Plan”), and the Restricted Stock Unit Agreement (Director Annual/Supplemental RSU) attached hereto (the “Agreement”), you (the “Participant”) have been granted an award of Restricted Stock Units (the “Award”) for _______________ shares of Common Stock (the “Shares”). Unless otherwise defined herein, capitalized terms in this Schedule A shall have the same definitions as set forth in the Agreement and the Plan.</w:t>
      </w:r>
    </w:p>
    <w:p>
      <w:pPr>
        <w:spacing w:after="0" w:line="178" w:lineRule="exact"/>
        <w:rPr>
          <w:sz w:val="20"/>
          <w:szCs w:val="20"/>
          <w:color w:val="auto"/>
        </w:rPr>
      </w:pPr>
    </w:p>
    <w:p>
      <w:pPr>
        <w:ind w:left="3900"/>
        <w:spacing w:after="0"/>
        <w:tabs>
          <w:tab w:leader="none" w:pos="5020" w:val="left"/>
        </w:tabs>
        <w:rPr>
          <w:sz w:val="20"/>
          <w:szCs w:val="20"/>
          <w:color w:val="auto"/>
        </w:rPr>
      </w:pPr>
      <w:r>
        <w:rPr>
          <w:rFonts w:ascii="Arial" w:cs="Arial" w:eastAsia="Arial" w:hAnsi="Arial"/>
          <w:sz w:val="20"/>
          <w:szCs w:val="20"/>
          <w:color w:val="auto"/>
        </w:rPr>
        <w:t>Granted To:</w:t>
      </w:r>
      <w:r>
        <w:rPr>
          <w:sz w:val="20"/>
          <w:szCs w:val="20"/>
          <w:color w:val="auto"/>
        </w:rPr>
        <w:tab/>
      </w:r>
      <w:r>
        <w:rPr>
          <w:rFonts w:ascii="Arial" w:cs="Arial" w:eastAsia="Arial" w:hAnsi="Arial"/>
          <w:sz w:val="16"/>
          <w:szCs w:val="16"/>
          <w:color w:val="auto"/>
        </w:rPr>
        <w:t>__________________</w:t>
      </w:r>
    </w:p>
    <w:p>
      <w:pPr>
        <w:spacing w:after="0" w:line="15" w:lineRule="exact"/>
        <w:rPr>
          <w:sz w:val="20"/>
          <w:szCs w:val="20"/>
          <w:color w:val="auto"/>
        </w:rPr>
      </w:pPr>
    </w:p>
    <w:p>
      <w:pPr>
        <w:ind w:left="3900"/>
        <w:spacing w:after="0"/>
        <w:tabs>
          <w:tab w:leader="none" w:pos="5000" w:val="left"/>
        </w:tabs>
        <w:rPr>
          <w:sz w:val="20"/>
          <w:szCs w:val="20"/>
          <w:color w:val="auto"/>
        </w:rPr>
      </w:pPr>
      <w:r>
        <w:rPr>
          <w:rFonts w:ascii="Arial" w:cs="Arial" w:eastAsia="Arial" w:hAnsi="Arial"/>
          <w:sz w:val="20"/>
          <w:szCs w:val="20"/>
          <w:color w:val="auto"/>
        </w:rPr>
        <w:t>Grant Date:</w:t>
      </w:r>
      <w:r>
        <w:rPr>
          <w:sz w:val="20"/>
          <w:szCs w:val="20"/>
          <w:color w:val="auto"/>
        </w:rPr>
        <w:tab/>
      </w:r>
      <w:r>
        <w:rPr>
          <w:rFonts w:ascii="Arial" w:cs="Arial" w:eastAsia="Arial" w:hAnsi="Arial"/>
          <w:sz w:val="16"/>
          <w:szCs w:val="16"/>
          <w:color w:val="auto"/>
        </w:rPr>
        <w:t>__________________</w:t>
      </w:r>
    </w:p>
    <w:p>
      <w:pPr>
        <w:ind w:left="3900"/>
        <w:spacing w:after="0"/>
        <w:tabs>
          <w:tab w:leader="none" w:pos="6980" w:val="left"/>
        </w:tabs>
        <w:rPr>
          <w:sz w:val="20"/>
          <w:szCs w:val="20"/>
          <w:color w:val="auto"/>
        </w:rPr>
      </w:pPr>
      <w:r>
        <w:rPr>
          <w:rFonts w:ascii="Arial" w:cs="Arial" w:eastAsia="Arial" w:hAnsi="Arial"/>
          <w:sz w:val="20"/>
          <w:szCs w:val="20"/>
          <w:color w:val="auto"/>
        </w:rPr>
        <w:t>Number of Shares Subject to Award:</w:t>
      </w:r>
      <w:r>
        <w:rPr>
          <w:sz w:val="20"/>
          <w:szCs w:val="20"/>
          <w:color w:val="auto"/>
        </w:rPr>
        <w:tab/>
      </w:r>
      <w:r>
        <w:rPr>
          <w:rFonts w:ascii="Arial" w:cs="Arial" w:eastAsia="Arial" w:hAnsi="Arial"/>
          <w:sz w:val="16"/>
          <w:szCs w:val="16"/>
          <w:color w:val="auto"/>
        </w:rPr>
        <w:t>__________________</w:t>
      </w:r>
    </w:p>
    <w:p>
      <w:pPr>
        <w:spacing w:after="0" w:line="213" w:lineRule="exact"/>
        <w:rPr>
          <w:sz w:val="20"/>
          <w:szCs w:val="20"/>
          <w:color w:val="auto"/>
        </w:rPr>
      </w:pPr>
    </w:p>
    <w:p>
      <w:pPr>
        <w:ind w:left="1460" w:hanging="804"/>
        <w:spacing w:after="0"/>
        <w:tabs>
          <w:tab w:leader="none" w:pos="1460"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w:t>
      </w:r>
    </w:p>
    <w:p>
      <w:pPr>
        <w:spacing w:after="0" w:line="243" w:lineRule="exact"/>
        <w:rPr>
          <w:sz w:val="20"/>
          <w:szCs w:val="20"/>
          <w:color w:val="auto"/>
        </w:rPr>
      </w:pPr>
    </w:p>
    <w:p>
      <w:pPr>
        <w:jc w:val="both"/>
        <w:ind w:firstLine="656"/>
        <w:spacing w:after="0" w:line="322" w:lineRule="auto"/>
        <w:tabs>
          <w:tab w:leader="none" w:pos="151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Award shall be deemed vested with respect to one hundred percent (100%)) of the Shares subject to the Award on the earlier of (i) the first anniversary of the Grant Date or (ii) the day before the Company’s first annual meeting of stockholders occurring after the Grant Date, in each case subject to the continued service of the Participant as a Director of the Company through such vesting date.</w:t>
      </w:r>
    </w:p>
    <w:p>
      <w:pPr>
        <w:spacing w:after="0" w:line="139" w:lineRule="exact"/>
        <w:rPr>
          <w:rFonts w:ascii="Arial" w:cs="Arial" w:eastAsia="Arial" w:hAnsi="Arial"/>
          <w:sz w:val="18"/>
          <w:szCs w:val="18"/>
          <w:color w:val="auto"/>
        </w:rPr>
      </w:pPr>
    </w:p>
    <w:p>
      <w:pPr>
        <w:jc w:val="both"/>
        <w:ind w:firstLine="656"/>
        <w:spacing w:after="0" w:line="250" w:lineRule="auto"/>
        <w:tabs>
          <w:tab w:leader="none" w:pos="1088" w:val="left"/>
        </w:tabs>
        <w:numPr>
          <w:ilvl w:val="0"/>
          <w:numId w:val="195"/>
        </w:numPr>
        <w:rPr>
          <w:rFonts w:ascii="Arial" w:cs="Arial" w:eastAsia="Arial" w:hAnsi="Arial"/>
          <w:sz w:val="20"/>
          <w:szCs w:val="20"/>
          <w:color w:val="auto"/>
        </w:rPr>
      </w:pPr>
      <w:r>
        <w:rPr>
          <w:rFonts w:ascii="Arial" w:cs="Arial" w:eastAsia="Arial" w:hAnsi="Arial"/>
          <w:sz w:val="20"/>
          <w:szCs w:val="20"/>
          <w:color w:val="auto"/>
        </w:rPr>
        <w:t>Notwithstanding the provisions of Section 2(a) above, in the event of the Participant’s death or Disability (as defined in the Plan), the Award shall automatically fully vest, effective as of the date of the Participant’s death or the date of Disability as determined by the Administrator, as applicable.</w:t>
      </w:r>
    </w:p>
    <w:p>
      <w:pPr>
        <w:spacing w:after="0" w:line="200" w:lineRule="exact"/>
        <w:rPr>
          <w:sz w:val="20"/>
          <w:szCs w:val="20"/>
          <w:color w:val="auto"/>
        </w:rPr>
      </w:pPr>
    </w:p>
    <w:p>
      <w:pPr>
        <w:ind w:firstLine="656"/>
        <w:spacing w:after="0" w:line="287" w:lineRule="auto"/>
        <w:tabs>
          <w:tab w:leader="none" w:pos="1035"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If the Company pays a dividend at any time after the Grant Date, such dividends shall be paid to the Participant in accordance with Section 7 of the Agreement upon and to the extent of the vesting of the underlying shares of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August 2015</w:t>
      </w:r>
    </w:p>
    <w:p>
      <w:pPr>
        <w:sectPr>
          <w:pgSz w:w="11900" w:h="16838" w:orient="portrait"/>
          <w:cols w:equalWidth="0" w:num="1">
            <w:col w:w="11420"/>
          </w:cols>
          <w:pgMar w:left="240" w:top="616" w:right="239" w:bottom="1440" w:gutter="0" w:footer="0" w:header="0"/>
        </w:sectPr>
      </w:pPr>
    </w:p>
    <w:bookmarkStart w:id="222" w:name="page223"/>
    <w:bookmarkEnd w:id="222"/>
    <w:p>
      <w:pPr>
        <w:jc w:val="both"/>
        <w:ind w:firstLine="648"/>
        <w:spacing w:after="0" w:line="278" w:lineRule="auto"/>
        <w:rPr>
          <w:sz w:val="20"/>
          <w:szCs w:val="20"/>
          <w:color w:val="auto"/>
        </w:rPr>
      </w:pPr>
      <w:r>
        <w:rPr>
          <w:rFonts w:ascii="Arial" w:cs="Arial" w:eastAsia="Arial" w:hAnsi="Arial"/>
          <w:sz w:val="18"/>
          <w:szCs w:val="18"/>
          <w:color w:val="auto"/>
        </w:rPr>
        <w:t xml:space="preserve">By my signature below, I, the Participant, hereby acknowledge receipt of this Grant Letter and the Agreement. I understand that the Grant Letter and other provisions of Schedule A herein are incorporated by reference into the Agreement and constitute a part of the Agreement. </w:t>
      </w:r>
      <w:r>
        <w:rPr>
          <w:rFonts w:ascii="Arial" w:cs="Arial" w:eastAsia="Arial" w:hAnsi="Arial"/>
          <w:sz w:val="18"/>
          <w:szCs w:val="18"/>
          <w:u w:val="single" w:color="auto"/>
          <w:color w:val="auto"/>
        </w:rPr>
        <w:t>By my signature below, I further agree to be bound by the terms of the Plan and the Agreement, including but not limited to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terms of this Grant Letter and the other provisions of Schedule A contained herein. The Company reserves the right to treat the Award and the Agreement as cancelled, void and of no effect if the Participant fails to return a signed copy of the Grant Letter within 30 days of receipt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26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-14605</wp:posOffset>
            </wp:positionV>
            <wp:extent cx="8801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0110" cy="889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-14605</wp:posOffset>
            </wp:positionV>
            <wp:extent cx="377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Updated August 2015</w:t>
      </w:r>
    </w:p>
    <w:p>
      <w:pPr>
        <w:sectPr>
          <w:pgSz w:w="11900" w:h="16838" w:orient="portrait"/>
          <w:cols w:equalWidth="0" w:num="1">
            <w:col w:w="11420"/>
          </w:cols>
          <w:pgMar w:left="240" w:top="623"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EXHIBIT 21</w:t>
            </w:r>
          </w:p>
        </w:tc>
        <w:tc>
          <w:tcPr>
            <w:tcW w:w="338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380" w:type="dxa"/>
            <w:vAlign w:val="bottom"/>
          </w:tcPr>
          <w:p>
            <w:pPr>
              <w:spacing w:after="0"/>
              <w:rPr>
                <w:sz w:val="20"/>
                <w:szCs w:val="20"/>
                <w:color w:val="auto"/>
              </w:rPr>
            </w:pPr>
            <w:r>
              <w:rPr>
                <w:rFonts w:ascii="Arial" w:cs="Arial" w:eastAsia="Arial" w:hAnsi="Arial"/>
                <w:sz w:val="18"/>
                <w:szCs w:val="18"/>
                <w:b w:val="1"/>
                <w:bCs w:val="1"/>
                <w:color w:val="auto"/>
                <w:w w:val="90"/>
              </w:rPr>
              <w:t>State or Other Jurisdiction of Incorporation</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Inc.</w:t>
            </w:r>
          </w:p>
        </w:tc>
        <w:tc>
          <w:tcPr>
            <w:tcW w:w="33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LLC</w:t>
            </w:r>
          </w:p>
        </w:tc>
        <w:tc>
          <w:tcPr>
            <w:tcW w:w="33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Infrastructure Product Group, Inc.</w:t>
            </w:r>
          </w:p>
        </w:tc>
        <w:tc>
          <w:tcPr>
            <w:tcW w:w="33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International, Inc.</w:t>
            </w:r>
          </w:p>
        </w:tc>
        <w:tc>
          <w:tcPr>
            <w:tcW w:w="33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UK Ltd.</w:t>
            </w:r>
          </w:p>
        </w:tc>
        <w:tc>
          <w:tcPr>
            <w:tcW w:w="33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(UK) Limited</w:t>
            </w:r>
          </w:p>
        </w:tc>
        <w:tc>
          <w:tcPr>
            <w:tcW w:w="33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(Holland) B.V.</w:t>
            </w:r>
          </w:p>
        </w:tc>
        <w:tc>
          <w:tcPr>
            <w:tcW w:w="33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(Taiwan) B.V.</w:t>
            </w:r>
          </w:p>
        </w:tc>
        <w:tc>
          <w:tcPr>
            <w:tcW w:w="33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Svenska AB</w:t>
            </w:r>
          </w:p>
        </w:tc>
        <w:tc>
          <w:tcPr>
            <w:tcW w:w="3380" w:type="dxa"/>
            <w:vAlign w:val="bottom"/>
          </w:tcPr>
          <w:p>
            <w:pPr>
              <w:spacing w:after="0"/>
              <w:rPr>
                <w:sz w:val="20"/>
                <w:szCs w:val="20"/>
                <w:color w:val="auto"/>
              </w:rPr>
            </w:pPr>
            <w:r>
              <w:rPr>
                <w:rFonts w:ascii="Arial" w:cs="Arial" w:eastAsia="Arial" w:hAnsi="Arial"/>
                <w:sz w:val="18"/>
                <w:szCs w:val="18"/>
                <w:color w:val="auto"/>
              </w:rPr>
              <w:t>Sweden</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(Denmark) ApS</w:t>
            </w:r>
          </w:p>
        </w:tc>
        <w:tc>
          <w:tcPr>
            <w:tcW w:w="3380" w:type="dxa"/>
            <w:vAlign w:val="bottom"/>
          </w:tcPr>
          <w:p>
            <w:pPr>
              <w:spacing w:after="0"/>
              <w:rPr>
                <w:sz w:val="20"/>
                <w:szCs w:val="20"/>
                <w:color w:val="auto"/>
              </w:rPr>
            </w:pPr>
            <w:r>
              <w:rPr>
                <w:rFonts w:ascii="Arial" w:cs="Arial" w:eastAsia="Arial" w:hAnsi="Arial"/>
                <w:sz w:val="18"/>
                <w:szCs w:val="18"/>
                <w:color w:val="auto"/>
              </w:rPr>
              <w:t>Denmark</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(Finland) Oy</w:t>
            </w:r>
          </w:p>
        </w:tc>
        <w:tc>
          <w:tcPr>
            <w:tcW w:w="3380" w:type="dxa"/>
            <w:vAlign w:val="bottom"/>
          </w:tcPr>
          <w:p>
            <w:pPr>
              <w:spacing w:after="0"/>
              <w:rPr>
                <w:sz w:val="20"/>
                <w:szCs w:val="20"/>
                <w:color w:val="auto"/>
              </w:rPr>
            </w:pPr>
            <w:r>
              <w:rPr>
                <w:rFonts w:ascii="Arial" w:cs="Arial" w:eastAsia="Arial" w:hAnsi="Arial"/>
                <w:sz w:val="18"/>
                <w:szCs w:val="18"/>
                <w:color w:val="auto"/>
              </w:rPr>
              <w:t>Finland</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(Korea) YH</w:t>
            </w:r>
          </w:p>
        </w:tc>
        <w:tc>
          <w:tcPr>
            <w:tcW w:w="3380" w:type="dxa"/>
            <w:vAlign w:val="bottom"/>
          </w:tcPr>
          <w:p>
            <w:pPr>
              <w:spacing w:after="0"/>
              <w:rPr>
                <w:sz w:val="20"/>
                <w:szCs w:val="20"/>
                <w:color w:val="auto"/>
              </w:rPr>
            </w:pPr>
            <w:r>
              <w:rPr>
                <w:rFonts w:ascii="Arial" w:cs="Arial" w:eastAsia="Arial" w:hAnsi="Arial"/>
                <w:sz w:val="18"/>
                <w:szCs w:val="18"/>
                <w:color w:val="auto"/>
              </w:rPr>
              <w:t>Korea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(Beijing) Co. Ltd.</w:t>
            </w:r>
          </w:p>
        </w:tc>
        <w:tc>
          <w:tcPr>
            <w:tcW w:w="338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(Hong Kong) Pvt. Limited</w:t>
            </w:r>
          </w:p>
        </w:tc>
        <w:tc>
          <w:tcPr>
            <w:tcW w:w="3380" w:type="dxa"/>
            <w:vAlign w:val="bottom"/>
          </w:tcPr>
          <w:p>
            <w:pPr>
              <w:spacing w:after="0"/>
              <w:rPr>
                <w:sz w:val="20"/>
                <w:szCs w:val="20"/>
                <w:color w:val="auto"/>
              </w:rPr>
            </w:pPr>
            <w:r>
              <w:rPr>
                <w:rFonts w:ascii="Arial" w:cs="Arial" w:eastAsia="Arial" w:hAnsi="Arial"/>
                <w:sz w:val="18"/>
                <w:szCs w:val="18"/>
                <w:color w:val="auto"/>
              </w:rPr>
              <w:t>Hong Kong</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Xemod Incorporated</w:t>
            </w:r>
          </w:p>
        </w:tc>
        <w:tc>
          <w:tcPr>
            <w:tcW w:w="33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Micro Linear International Corporation</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Premier Devices – A Sirenza Company</w:t>
            </w:r>
          </w:p>
        </w:tc>
        <w:tc>
          <w:tcPr>
            <w:tcW w:w="33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Premier Devices German Holding GmbH</w:t>
            </w:r>
          </w:p>
        </w:tc>
        <w:tc>
          <w:tcPr>
            <w:tcW w:w="33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Germany GmbH</w:t>
            </w:r>
          </w:p>
        </w:tc>
        <w:tc>
          <w:tcPr>
            <w:tcW w:w="33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Radio Frequency Micro Devices (India) Private Limited</w:t>
            </w:r>
          </w:p>
        </w:tc>
        <w:tc>
          <w:tcPr>
            <w:tcW w:w="3380" w:type="dxa"/>
            <w:vAlign w:val="bottom"/>
          </w:tcPr>
          <w:p>
            <w:pPr>
              <w:spacing w:after="0"/>
              <w:rPr>
                <w:sz w:val="20"/>
                <w:szCs w:val="20"/>
                <w:color w:val="auto"/>
              </w:rPr>
            </w:pPr>
            <w:r>
              <w:rPr>
                <w:rFonts w:ascii="Arial" w:cs="Arial" w:eastAsia="Arial" w:hAnsi="Arial"/>
                <w:sz w:val="18"/>
                <w:szCs w:val="18"/>
                <w:color w:val="auto"/>
              </w:rPr>
              <w:t>India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Amalfi Semiconductor,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Amalfi Semiconductor, Ltd.</w:t>
            </w:r>
          </w:p>
        </w:tc>
        <w:tc>
          <w:tcPr>
            <w:tcW w:w="33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Amalfi Semiconductor Pte, Ltd.</w:t>
            </w:r>
          </w:p>
        </w:tc>
        <w:tc>
          <w:tcPr>
            <w:tcW w:w="3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(Cayman Islands), Ltd.</w:t>
            </w:r>
          </w:p>
        </w:tc>
        <w:tc>
          <w:tcPr>
            <w:tcW w:w="33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(Singapore) Pte. Ltd.</w:t>
            </w:r>
          </w:p>
        </w:tc>
        <w:tc>
          <w:tcPr>
            <w:tcW w:w="3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(Dezhou) Co. Ltd.</w:t>
            </w:r>
          </w:p>
        </w:tc>
        <w:tc>
          <w:tcPr>
            <w:tcW w:w="338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Inc.</w:t>
            </w:r>
          </w:p>
        </w:tc>
        <w:tc>
          <w:tcPr>
            <w:tcW w:w="33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TFR, Inc.</w:t>
            </w:r>
          </w:p>
        </w:tc>
        <w:tc>
          <w:tcPr>
            <w:tcW w:w="33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GmbH</w:t>
            </w:r>
          </w:p>
        </w:tc>
        <w:tc>
          <w:tcPr>
            <w:tcW w:w="33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S.R.L</w:t>
            </w:r>
          </w:p>
        </w:tc>
        <w:tc>
          <w:tcPr>
            <w:tcW w:w="3380" w:type="dxa"/>
            <w:vAlign w:val="bottom"/>
          </w:tcPr>
          <w:p>
            <w:pPr>
              <w:spacing w:after="0"/>
              <w:rPr>
                <w:sz w:val="20"/>
                <w:szCs w:val="20"/>
                <w:color w:val="auto"/>
              </w:rPr>
            </w:pPr>
            <w:r>
              <w:rPr>
                <w:rFonts w:ascii="Arial" w:cs="Arial" w:eastAsia="Arial" w:hAnsi="Arial"/>
                <w:sz w:val="18"/>
                <w:szCs w:val="18"/>
                <w:color w:val="auto"/>
              </w:rPr>
              <w:t>Costa Rica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Asia LLC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International Pte. Ltd.</w:t>
            </w:r>
          </w:p>
        </w:tc>
        <w:tc>
          <w:tcPr>
            <w:tcW w:w="3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Malaysia SDN BHD</w:t>
            </w:r>
          </w:p>
        </w:tc>
        <w:tc>
          <w:tcPr>
            <w:tcW w:w="3380" w:type="dxa"/>
            <w:vAlign w:val="bottom"/>
          </w:tcPr>
          <w:p>
            <w:pPr>
              <w:spacing w:after="0"/>
              <w:rPr>
                <w:sz w:val="20"/>
                <w:szCs w:val="20"/>
                <w:color w:val="auto"/>
              </w:rPr>
            </w:pPr>
            <w:r>
              <w:rPr>
                <w:rFonts w:ascii="Arial" w:cs="Arial" w:eastAsia="Arial" w:hAnsi="Arial"/>
                <w:sz w:val="18"/>
                <w:szCs w:val="18"/>
                <w:color w:val="auto"/>
              </w:rPr>
              <w:t>Malaysia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Japan YK</w:t>
            </w:r>
          </w:p>
        </w:tc>
        <w:tc>
          <w:tcPr>
            <w:tcW w:w="338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(Shanghai) Ltd</w:t>
            </w:r>
          </w:p>
        </w:tc>
        <w:tc>
          <w:tcPr>
            <w:tcW w:w="33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Texas, LLC</w:t>
            </w:r>
          </w:p>
        </w:tc>
        <w:tc>
          <w:tcPr>
            <w:tcW w:w="33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Sales and Design,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Europe Holding Company</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WJ,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WJ Newco LLC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CW, Inc.</w:t>
            </w:r>
          </w:p>
        </w:tc>
        <w:tc>
          <w:tcPr>
            <w:tcW w:w="3380" w:type="dxa"/>
            <w:vAlign w:val="bottom"/>
          </w:tcPr>
          <w:p>
            <w:pPr>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0219"/>
          </w:cols>
          <w:pgMar w:left="240" w:top="878" w:right="1440" w:bottom="1440" w:gutter="0" w:footer="0" w:header="0"/>
        </w:sectPr>
      </w:pPr>
    </w:p>
    <w:bookmarkStart w:id="224" w:name="page225"/>
    <w:bookmarkEnd w:id="224"/>
    <w:p>
      <w:pPr>
        <w:spacing w:after="0"/>
        <w:rPr>
          <w:sz w:val="20"/>
          <w:szCs w:val="20"/>
          <w:color w:val="auto"/>
        </w:rPr>
      </w:pPr>
      <w:r>
        <w:rPr>
          <w:rFonts w:ascii="Arial" w:cs="Arial" w:eastAsia="Arial" w:hAnsi="Arial"/>
          <w:sz w:val="16"/>
          <w:szCs w:val="16"/>
          <w:color w:val="auto"/>
        </w:rPr>
        <w:t>All of the above listed entities are 100% directly or indirectly owned by Qorvo, Inc.</w:t>
      </w:r>
    </w:p>
    <w:p>
      <w:pPr>
        <w:sectPr>
          <w:pgSz w:w="11900" w:h="16838" w:orient="portrait"/>
          <w:cols w:equalWidth="0" w:num="1">
            <w:col w:w="10219"/>
          </w:cols>
          <w:pgMar w:left="240" w:top="882"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Qorvo, Inc.:</w:t>
      </w:r>
    </w:p>
    <w:p>
      <w:pPr>
        <w:spacing w:after="0" w:line="200" w:lineRule="exact"/>
        <w:rPr>
          <w:sz w:val="20"/>
          <w:szCs w:val="20"/>
          <w:color w:val="auto"/>
        </w:rPr>
      </w:pPr>
    </w:p>
    <w:p>
      <w:pPr>
        <w:spacing w:after="0" w:line="243"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Arial" w:cs="Arial" w:eastAsia="Arial" w:hAnsi="Arial"/>
          <w:sz w:val="18"/>
          <w:szCs w:val="18"/>
          <w:color w:val="auto"/>
        </w:rPr>
        <w:t>195236) on Form S-4 and (No. 333-201357 and No. 333-201358) on Form S-8 of Qorvo, Inc. of our reports dated May 31, 2016, with respect to the consolidated balance sheets of Qorvo, Inc. as of April 2, 2016 and March 28, 2015, and the related consolidated statements of operations, comprehensive income (loss), stockholders’ equity, and cash flows for each of the years in the two-year period ended April 2, 2016, and the effectiveness of internal control over financial reporting as of April 2, 2016, which reports appear in the April 2, 2016 annual report on Form 10-K of Qorvo, Inc.</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report dated May 31, 2016 on the effectiveness of internal control over financial reporting as of April 2, 2016, expresses our opinion that Qorvo, Inc. did not maintain effective internal control over financial reporting as of April 2, 2016 because of the effect of a material weakness on the achievement of the objectives of the control criteria and contains an explanatory paragraph that states:</w:t>
      </w:r>
    </w:p>
    <w:p>
      <w:pPr>
        <w:spacing w:after="0" w:line="184" w:lineRule="exact"/>
        <w:rPr>
          <w:sz w:val="20"/>
          <w:szCs w:val="20"/>
          <w:color w:val="auto"/>
        </w:rPr>
      </w:pPr>
    </w:p>
    <w:p>
      <w:pPr>
        <w:ind w:left="660" w:right="60"/>
        <w:spacing w:after="0" w:line="244" w:lineRule="auto"/>
        <w:rPr>
          <w:sz w:val="20"/>
          <w:szCs w:val="20"/>
          <w:color w:val="auto"/>
        </w:rPr>
      </w:pPr>
      <w:r>
        <w:rPr>
          <w:rFonts w:ascii="Arial" w:cs="Arial" w:eastAsia="Arial" w:hAnsi="Arial"/>
          <w:sz w:val="20"/>
          <w:szCs w:val="20"/>
          <w:color w:val="auto"/>
        </w:rPr>
        <w:t>A material weakness related to insufficient complement of knowledgeable tax and accounting personnel; an ineffective risk assessment process to assess the changes in the regulatory environment, the organization and personnel impacting the Company’s financial reporting of income taxes; and ineffective process level controls and monitoring activities over the completeness, existence, accuracy, valuation and presentation of the income tax provision, including deferred tax assets, valuation allowances, and tax uncertainties has been identified and included in management’s assessment.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Greensboro,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31, 2016</w:t>
      </w:r>
    </w:p>
    <w:p>
      <w:pPr>
        <w:sectPr>
          <w:pgSz w:w="11900" w:h="16838" w:orient="portrait"/>
          <w:cols w:equalWidth="0" w:num="1">
            <w:col w:w="11420"/>
          </w:cols>
          <w:pgMar w:left="240" w:top="589" w:right="239" w:bottom="1440" w:gutter="0" w:footer="0" w:header="0"/>
        </w:sectPr>
      </w:pPr>
    </w:p>
    <w:bookmarkStart w:id="226" w:name="page227"/>
    <w:bookmarkEnd w:id="226"/>
    <w:p>
      <w:pPr>
        <w:ind w:left="104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6"/>
          <w:szCs w:val="16"/>
          <w:b w:val="1"/>
          <w:bCs w:val="1"/>
          <w:color w:val="auto"/>
        </w:rPr>
        <w:t>xhibit 23.2</w:t>
      </w:r>
    </w:p>
    <w:p>
      <w:pPr>
        <w:spacing w:after="0" w:line="200" w:lineRule="exact"/>
        <w:rPr>
          <w:sz w:val="20"/>
          <w:szCs w:val="20"/>
          <w:color w:val="auto"/>
        </w:rPr>
      </w:pPr>
    </w:p>
    <w:p>
      <w:pPr>
        <w:spacing w:after="0" w:line="25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Registration Statement (Form S-4 No. 333-195236) of Qorvo, Inc. (formerly known as Rocky Holding, Inc.),</w:t>
      </w:r>
    </w:p>
    <w:p>
      <w:pPr>
        <w:spacing w:after="0" w:line="22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Registration Statement (Form S-8 No. 333-201357) pertaining to the Qorvo, Inc. 2007 Employee Stock Purchase Plan, the Qorvo, Inc. 2013 Incentive Plan, the Qorvo, Inc. 2012 Incentive Plan, the Qorvo, Inc. 2009 Incentive Plan, the Qorvo, Inc. 2008 Inducement Program, and the Qorvo, Inc. 1996 Stock Incentive Program, and</w:t>
      </w:r>
    </w:p>
    <w:p>
      <w:pPr>
        <w:spacing w:after="0" w:line="19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Registration Statement (Form S-8 No. 333-201358) pertaining to the Qorvo, Inc. 2012 Stock Incentive Plan, the 2003 Stock Incentive Plan of Qorvo, Inc., the Qorvo, Inc. 2006 Directors Stock Option Plan, the Nonemployee Directors’ Stock Option Plan of Qorvo, Inc., and the Qorvo, Inc. 2015 Inducement Stock Plan;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of our report dated May 21, 2014 (except for the effect of the reverse stock split described in Note 12 and the segment presentation in Note 15, as to which the date is May 27, 2015), with respect to the consolidated financial statements of RF Micro Devices, Inc. and Subsidiaries for the year ended March 29, 2014 included in this Annual Report (Form 10-K) of Qorvo, Inc. and Subsidiaries for the year ended April 2, 2016.</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Charlotte, North Carolina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May 31, 2016</w:t>
      </w:r>
    </w:p>
    <w:p>
      <w:pPr>
        <w:sectPr>
          <w:pgSz w:w="11900" w:h="16838" w:orient="portrait"/>
          <w:cols w:equalWidth="0" w:num="1">
            <w:col w:w="11420"/>
          </w:cols>
          <w:pgMar w:left="240" w:top="360"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31, 2016</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1" w:right="3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J. Buhaly, certify that:</w:t>
      </w:r>
    </w:p>
    <w:p>
      <w:pPr>
        <w:spacing w:after="0" w:line="225" w:lineRule="exact"/>
        <w:rPr>
          <w:sz w:val="20"/>
          <w:szCs w:val="20"/>
          <w:color w:val="auto"/>
        </w:rPr>
      </w:pPr>
    </w:p>
    <w:p>
      <w:pPr>
        <w:ind w:left="320" w:hanging="312"/>
        <w:spacing w:after="0"/>
        <w:tabs>
          <w:tab w:leader="none" w:pos="3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31, 2016</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Steven J. Buhaly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1" w:right="25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600" w:hanging="652"/>
        <w:spacing w:after="0" w:line="287" w:lineRule="auto"/>
        <w:tabs>
          <w:tab w:leader="none" w:pos="66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Annual Report on Form 10-K of the Company for the fiscal year ended April 2, 2016 (the “Report”) fully complies with the requirements of Section 13(a) or 15(d) of the Securities Exchange Act of 1934, as amended; and</w:t>
      </w:r>
    </w:p>
    <w:p>
      <w:pPr>
        <w:spacing w:after="0" w:line="166" w:lineRule="exact"/>
        <w:rPr>
          <w:rFonts w:ascii="Arial" w:cs="Arial" w:eastAsia="Arial" w:hAnsi="Arial"/>
          <w:sz w:val="19"/>
          <w:szCs w:val="19"/>
          <w:color w:val="auto"/>
        </w:rPr>
      </w:pPr>
    </w:p>
    <w:p>
      <w:pPr>
        <w:ind w:left="660" w:right="140" w:hanging="652"/>
        <w:spacing w:after="0" w:line="260" w:lineRule="auto"/>
        <w:tabs>
          <w:tab w:leader="none" w:pos="66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31, 2016</w:t>
      </w:r>
    </w:p>
    <w:p>
      <w:pPr>
        <w:sectPr>
          <w:pgSz w:w="11900" w:h="16838" w:orient="portrait"/>
          <w:cols w:equalWidth="0" w:num="1">
            <w:col w:w="11360"/>
          </w:cols>
          <w:pgMar w:left="240" w:top="576" w:right="299"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I, Steven J. Buhaly,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600" w:hanging="652"/>
        <w:spacing w:after="0" w:line="287" w:lineRule="auto"/>
        <w:tabs>
          <w:tab w:leader="none" w:pos="66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Annual Report on Form 10-K of the Company for the fiscal year ended April 2, 2016 (the “Report”) fully complies with the requirements of Section 13(a) or 15(d) of the Securities Exchange Act of 1934, as amended; and</w:t>
      </w:r>
    </w:p>
    <w:p>
      <w:pPr>
        <w:spacing w:after="0" w:line="166" w:lineRule="exact"/>
        <w:rPr>
          <w:rFonts w:ascii="Arial" w:cs="Arial" w:eastAsia="Arial" w:hAnsi="Arial"/>
          <w:sz w:val="19"/>
          <w:szCs w:val="19"/>
          <w:color w:val="auto"/>
        </w:rPr>
      </w:pPr>
    </w:p>
    <w:p>
      <w:pPr>
        <w:ind w:left="660" w:right="140" w:hanging="652"/>
        <w:spacing w:after="0" w:line="260" w:lineRule="auto"/>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STEVEN J. BUHALY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Steven J. Buhaly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31, 2016</w:t>
      </w:r>
    </w:p>
    <w:sectPr>
      <w:pgSz w:w="11900" w:h="16838" w:orient="portrait"/>
      <w:cols w:equalWidth="0" w:num="1">
        <w:col w:w="11360"/>
      </w:cols>
      <w:pgMar w:left="240" w:top="5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
      <w:numFmt w:val="bullet"/>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
      <w:numFmt w:val="bullet"/>
      <w:start w:val="1"/>
    </w:lvl>
  </w:abstractNum>
  <w:abstractNum w:abstractNumId="10">
    <w:nsid w:val="1FBFE8E0"/>
    <w:multiLevelType w:val="hybridMultilevel"/>
    <w:lvl w:ilvl="0">
      <w:lvlJc w:val="left"/>
      <w:lvlText w:val="•"/>
      <w:numFmt w:val="bullet"/>
      <w:start w:val="1"/>
    </w:lvl>
  </w:abstractNum>
  <w:abstractNum w:abstractNumId="11">
    <w:nsid w:val="5092CA79"/>
    <w:multiLevelType w:val="hybridMultilevel"/>
    <w:lvl w:ilvl="0">
      <w:lvlJc w:val="left"/>
      <w:lvlText w:val="•"/>
      <w:numFmt w:val="bullet"/>
      <w:start w:val="1"/>
    </w:lvl>
  </w:abstractNum>
  <w:abstractNum w:abstractNumId="12">
    <w:nsid w:val="1D545C4D"/>
    <w:multiLevelType w:val="hybridMultilevel"/>
    <w:lvl w:ilvl="0">
      <w:lvlJc w:val="left"/>
      <w:lvlText w:val="•"/>
      <w:numFmt w:val="bullet"/>
      <w:start w:val="1"/>
    </w:lvl>
  </w:abstractNum>
  <w:abstractNum w:abstractNumId="13">
    <w:nsid w:val="59ADEA3D"/>
    <w:multiLevelType w:val="hybridMultilevel"/>
    <w:lvl w:ilvl="0">
      <w:lvlJc w:val="left"/>
      <w:lvlText w:val="•"/>
      <w:numFmt w:val="bullet"/>
      <w:start w:val="1"/>
    </w:lvl>
  </w:abstractNum>
  <w:abstractNum w:abstractNumId="14">
    <w:nsid w:val="288F1A34"/>
    <w:multiLevelType w:val="hybridMultilevel"/>
    <w:lvl w:ilvl="0">
      <w:lvlJc w:val="left"/>
      <w:lvlText w:val="•"/>
      <w:numFmt w:val="bullet"/>
      <w:start w:val="1"/>
    </w:lvl>
  </w:abstractNum>
  <w:abstractNum w:abstractNumId="15">
    <w:nsid w:val="2A155DBC"/>
    <w:multiLevelType w:val="hybridMultilevel"/>
    <w:lvl w:ilvl="0">
      <w:lvlJc w:val="left"/>
      <w:lvlText w:val="•"/>
      <w:numFmt w:val="bullet"/>
      <w:start w:val="1"/>
    </w:lvl>
  </w:abstractNum>
  <w:abstractNum w:abstractNumId="16">
    <w:nsid w:val="1D9F6E5F"/>
    <w:multiLevelType w:val="hybridMultilevel"/>
    <w:lvl w:ilvl="0">
      <w:lvlJc w:val="left"/>
      <w:lvlText w:val="•"/>
      <w:numFmt w:val="bullet"/>
      <w:start w:val="1"/>
    </w:lvl>
  </w:abstractNum>
  <w:abstractNum w:abstractNumId="17">
    <w:nsid w:val="97E1B4E"/>
    <w:multiLevelType w:val="hybridMultilevel"/>
    <w:lvl w:ilvl="0">
      <w:lvlJc w:val="left"/>
      <w:lvlText w:val="•"/>
      <w:numFmt w:val="bullet"/>
      <w:start w:val="1"/>
    </w:lvl>
  </w:abstractNum>
  <w:abstractNum w:abstractNumId="18">
    <w:nsid w:val="51088277"/>
    <w:multiLevelType w:val="hybridMultilevel"/>
    <w:lvl w:ilvl="0">
      <w:lvlJc w:val="left"/>
      <w:lvlText w:val="%1."/>
      <w:numFmt w:val="upperLetter"/>
      <w:start w:val="2"/>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abstractNum>
  <w:abstractNum w:abstractNumId="22">
    <w:nsid w:val="7C58FD05"/>
    <w:multiLevelType w:val="hybridMultilevel"/>
    <w:lvl w:ilvl="0">
      <w:lvlJc w:val="left"/>
      <w:lvlText w:val="(%1)"/>
      <w:numFmt w:val="lowerRoman"/>
      <w:start w:val="2"/>
    </w:lvl>
  </w:abstractNum>
  <w:abstractNum w:abstractNumId="23">
    <w:nsid w:val="23D86AAC"/>
    <w:multiLevelType w:val="hybridMultilevel"/>
    <w:lvl w:ilvl="0">
      <w:lvlJc w:val="left"/>
      <w:lvlText w:val="%1."/>
      <w:numFmt w:val="decimal"/>
      <w:start w:val="1"/>
    </w:lvl>
  </w:abstractNum>
  <w:abstractNum w:abstractNumId="24">
    <w:nsid w:val="45E6D486"/>
    <w:multiLevelType w:val="hybridMultilevel"/>
    <w:lvl w:ilvl="0">
      <w:lvlJc w:val="left"/>
      <w:lvlText w:val="(%1)"/>
      <w:numFmt w:val="decimal"/>
      <w:start w:val="1"/>
    </w:lvl>
  </w:abstractNum>
  <w:abstractNum w:abstractNumId="25">
    <w:nsid w:val="5C10FE21"/>
    <w:multiLevelType w:val="hybridMultilevel"/>
    <w:lvl w:ilvl="0">
      <w:lvlJc w:val="left"/>
      <w:lvlText w:val="(%1)"/>
      <w:numFmt w:val="decimal"/>
      <w:start w:val="1"/>
    </w:lvl>
  </w:abstractNum>
  <w:abstractNum w:abstractNumId="26">
    <w:nsid w:val="E7FFA2B"/>
    <w:multiLevelType w:val="hybridMultilevel"/>
    <w:lvl w:ilvl="0">
      <w:lvlJc w:val="left"/>
      <w:lvlText w:val="%1."/>
      <w:numFmt w:val="decimal"/>
      <w:start w:val="8"/>
    </w:lvl>
  </w:abstractNum>
  <w:abstractNum w:abstractNumId="27">
    <w:nsid w:val="3C5991AA"/>
    <w:multiLevelType w:val="hybridMultilevel"/>
    <w:lvl w:ilvl="0">
      <w:lvlJc w:val="left"/>
      <w:lvlText w:val="(%1)"/>
      <w:numFmt w:val="decimal"/>
      <w:start w:val="1"/>
    </w:lvl>
  </w:abstractNum>
  <w:abstractNum w:abstractNumId="28">
    <w:nsid w:val="4BD8591A"/>
    <w:multiLevelType w:val="hybridMultilevel"/>
    <w:lvl w:ilvl="0">
      <w:lvlJc w:val="left"/>
      <w:lvlText w:val="%1."/>
      <w:numFmt w:val="decimal"/>
      <w:start w:val="1"/>
    </w:lvl>
  </w:abstractNum>
  <w:abstractNum w:abstractNumId="29">
    <w:nsid w:val="78DF6A55"/>
    <w:multiLevelType w:val="hybridMultilevel"/>
    <w:lvl w:ilvl="0">
      <w:lvlJc w:val="left"/>
      <w:lvlText w:val="(%1)"/>
      <w:numFmt w:val="lowerLetter"/>
      <w:start w:val="1"/>
    </w:lvl>
  </w:abstractNum>
  <w:abstractNum w:abstractNumId="30">
    <w:nsid w:val="39B7AAA2"/>
    <w:multiLevelType w:val="hybridMultilevel"/>
    <w:lvl w:ilvl="0">
      <w:lvlJc w:val="left"/>
      <w:lvlText w:val="(%1)"/>
      <w:numFmt w:val="lowerLetter"/>
      <w:start w:val="2"/>
    </w:lvl>
  </w:abstractNum>
  <w:abstractNum w:abstractNumId="31">
    <w:nsid w:val="2B0D8DBE"/>
    <w:multiLevelType w:val="hybridMultilevel"/>
    <w:lvl w:ilvl="0">
      <w:lvlJc w:val="left"/>
      <w:lvlText w:val="(%1)"/>
      <w:numFmt w:val="lowerLetter"/>
      <w:start w:val="3"/>
    </w:lvl>
  </w:abstractNum>
  <w:abstractNum w:abstractNumId="32">
    <w:nsid w:val="6C80EC70"/>
    <w:multiLevelType w:val="hybridMultilevel"/>
    <w:lvl w:ilvl="0">
      <w:lvlJc w:val="left"/>
      <w:lvlText w:val="•"/>
      <w:numFmt w:val="bullet"/>
      <w:start w:val="1"/>
    </w:lvl>
  </w:abstractNum>
  <w:abstractNum w:abstractNumId="33">
    <w:nsid w:val="379E21B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69E373"/>
    <w:multiLevelType w:val="hybridMultilevel"/>
    <w:lvl w:ilvl="0">
      <w:lvlJc w:val="left"/>
      <w:lvlText w:val="%1"/>
      <w:numFmt w:val="lowerLetter"/>
      <w:start w:val="1"/>
    </w:lvl>
    <w:lvl w:ilvl="1">
      <w:lvlJc w:val="left"/>
      <w:lvlText w:val="(%2)"/>
      <w:numFmt w:val="decimal"/>
      <w:start w:val="2"/>
    </w:lvl>
  </w:abstractNum>
  <w:abstractNum w:abstractNumId="35">
    <w:nsid w:val="2C27173B"/>
    <w:multiLevelType w:val="hybridMultilevel"/>
    <w:lvl w:ilvl="0">
      <w:lvlJc w:val="left"/>
      <w:lvlText w:val="(%1)"/>
      <w:numFmt w:val="lowerLetter"/>
      <w:start w:val="2"/>
    </w:lvl>
    <w:lvl w:ilvl="1">
      <w:lvlJc w:val="left"/>
      <w:lvlText w:val="%2"/>
      <w:numFmt w:val="decimal"/>
      <w:start w:val="1"/>
    </w:lvl>
  </w:abstractNum>
  <w:abstractNum w:abstractNumId="36">
    <w:nsid w:val="4C9B0904"/>
    <w:multiLevelType w:val="hybridMultilevel"/>
    <w:lvl w:ilvl="0">
      <w:lvlJc w:val="left"/>
      <w:lvlText w:val="(%1)"/>
      <w:numFmt w:val="lowerLetter"/>
      <w:start w:val="3"/>
    </w:lvl>
  </w:abstractNum>
  <w:abstractNum w:abstractNumId="37">
    <w:nsid w:val="6AA7B75C"/>
    <w:multiLevelType w:val="hybridMultilevel"/>
    <w:lvl w:ilvl="0">
      <w:lvlJc w:val="left"/>
      <w:lvlText w:val="%1"/>
      <w:numFmt w:val="decimal"/>
      <w:start w:val="101"/>
    </w:lvl>
  </w:abstractNum>
  <w:abstractNum w:abstractNumId="38">
    <w:nsid w:val="1DF029D3"/>
    <w:multiLevelType w:val="hybridMultilevel"/>
    <w:lvl w:ilvl="0">
      <w:lvlJc w:val="left"/>
      <w:lvlText w:val="#"/>
      <w:numFmt w:val="bullet"/>
      <w:start w:val="1"/>
    </w:lvl>
  </w:abstractNum>
  <w:abstractNum w:abstractNumId="39">
    <w:nsid w:val="5675FF36"/>
    <w:multiLevelType w:val="hybridMultilevel"/>
    <w:lvl w:ilvl="0">
      <w:lvlJc w:val="left"/>
      <w:lvlText w:val="+"/>
      <w:numFmt w:val="bullet"/>
      <w:start w:val="1"/>
    </w:lvl>
  </w:abstractNum>
  <w:abstractNum w:abstractNumId="40">
    <w:nsid w:val="3DD15094"/>
    <w:multiLevelType w:val="hybridMultilevel"/>
    <w:lvl w:ilvl="0">
      <w:lvlJc w:val="left"/>
      <w:lvlText w:val="*"/>
      <w:numFmt w:val="bullet"/>
      <w:start w:val="1"/>
    </w:lvl>
  </w:abstractNum>
  <w:abstractNum w:abstractNumId="41">
    <w:nsid w:val="3DB012B3"/>
    <w:multiLevelType w:val="hybridMultilevel"/>
    <w:lvl w:ilvl="0">
      <w:lvlJc w:val="left"/>
      <w:lvlText w:val="%1."/>
      <w:numFmt w:val="decimal"/>
      <w:start w:val="1"/>
    </w:lvl>
  </w:abstractNum>
  <w:abstractNum w:abstractNumId="42">
    <w:nsid w:val="2708C9AF"/>
    <w:multiLevelType w:val="hybridMultilevel"/>
    <w:lvl w:ilvl="0">
      <w:lvlJc w:val="left"/>
      <w:lvlText w:val="%1."/>
      <w:numFmt w:val="decimal"/>
      <w:start w:val="4"/>
    </w:lvl>
    <w:lvl w:ilvl="1">
      <w:lvlJc w:val="left"/>
      <w:lvlText w:val="(%2)"/>
      <w:numFmt w:val="lowerLetter"/>
      <w:start w:val="1"/>
    </w:lvl>
  </w:abstractNum>
  <w:abstractNum w:abstractNumId="43">
    <w:nsid w:val="5B25ACE2"/>
    <w:multiLevelType w:val="hybridMultilevel"/>
    <w:lvl w:ilvl="0">
      <w:lvlJc w:val="left"/>
      <w:lvlText w:val="%1."/>
      <w:numFmt w:val="decimal"/>
      <w:start w:val="5"/>
    </w:lvl>
    <w:lvl w:ilvl="1">
      <w:lvlJc w:val="left"/>
      <w:lvlText w:val="(%2)"/>
      <w:numFmt w:val="lowerLetter"/>
      <w:start w:val="1"/>
    </w:lvl>
  </w:abstractNum>
  <w:abstractNum w:abstractNumId="44">
    <w:nsid w:val="175DFCF0"/>
    <w:multiLevelType w:val="hybridMultilevel"/>
    <w:lvl w:ilvl="0">
      <w:lvlJc w:val="left"/>
      <w:lvlText w:val="%1."/>
      <w:numFmt w:val="decimal"/>
      <w:start w:val="6"/>
    </w:lvl>
    <w:lvl w:ilvl="1">
      <w:lvlJc w:val="left"/>
      <w:lvlText w:val="(%2)"/>
      <w:numFmt w:val="lowerLetter"/>
      <w:start w:val="1"/>
    </w:lvl>
  </w:abstractNum>
  <w:abstractNum w:abstractNumId="45">
    <w:nsid w:val="4F97E3E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53B0A9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34FD6B4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48">
    <w:nsid w:val="5915FF3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9">
    <w:nsid w:val="56438D15"/>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50">
    <w:nsid w:val="519E3149"/>
    <w:multiLevelType w:val="hybridMultilevel"/>
    <w:lvl w:ilvl="0">
      <w:lvlJc w:val="left"/>
      <w:lvlText w:val="%1."/>
      <w:numFmt w:val="decimal"/>
      <w:start w:val="8"/>
    </w:lvl>
    <w:lvl w:ilvl="1">
      <w:lvlJc w:val="left"/>
      <w:lvlText w:val="(%2)"/>
      <w:numFmt w:val="lowerLetter"/>
      <w:start w:val="1"/>
    </w:lvl>
  </w:abstractNum>
  <w:abstractNum w:abstractNumId="51">
    <w:nsid w:val="2C6E4AFD"/>
    <w:multiLevelType w:val="hybridMultilevel"/>
    <w:lvl w:ilvl="0">
      <w:lvlJc w:val="left"/>
      <w:lvlText w:val="%1."/>
      <w:numFmt w:val="decimal"/>
      <w:start w:val="10"/>
    </w:lvl>
    <w:lvl w:ilvl="1">
      <w:lvlJc w:val="left"/>
      <w:lvlText w:val="(%2)"/>
      <w:numFmt w:val="lowerLetter"/>
      <w:start w:val="1"/>
    </w:lvl>
  </w:abstractNum>
  <w:abstractNum w:abstractNumId="52">
    <w:nsid w:val="17A1B582"/>
    <w:multiLevelType w:val="hybridMultilevel"/>
    <w:lvl w:ilvl="0">
      <w:lvlJc w:val="left"/>
      <w:lvlText w:val="(%1)"/>
      <w:numFmt w:val="lowerLetter"/>
      <w:start w:val="2"/>
    </w:lvl>
  </w:abstractNum>
  <w:abstractNum w:abstractNumId="53">
    <w:nsid w:val="4DF72E4E"/>
    <w:multiLevelType w:val="hybridMultilevel"/>
    <w:lvl w:ilvl="0">
      <w:lvlJc w:val="left"/>
      <w:lvlText w:val="(%1)"/>
      <w:numFmt w:val="lowerLetter"/>
      <w:start w:val="4"/>
    </w:lvl>
  </w:abstractNum>
  <w:abstractNum w:abstractNumId="54">
    <w:nsid w:val="5046B5A9"/>
    <w:multiLevelType w:val="hybridMultilevel"/>
    <w:lvl w:ilvl="0">
      <w:lvlJc w:val="left"/>
      <w:lvlText w:val="(%1)"/>
      <w:numFmt w:val="lowerLetter"/>
      <w:start w:val="7"/>
    </w:lvl>
    <w:lvl w:ilvl="1">
      <w:lvlJc w:val="left"/>
      <w:lvlText w:val="(%2)"/>
      <w:numFmt w:val="lowerRoman"/>
      <w:start w:val="1"/>
    </w:lvl>
  </w:abstractNum>
  <w:abstractNum w:abstractNumId="55">
    <w:nsid w:val="5D888A08"/>
    <w:multiLevelType w:val="hybridMultilevel"/>
    <w:lvl w:ilvl="0">
      <w:lvlJc w:val="left"/>
      <w:lvlText w:val="%1"/>
      <w:numFmt w:val="lowerLetter"/>
      <w:start w:val="1"/>
    </w:lvl>
    <w:lvl w:ilvl="1">
      <w:lvlJc w:val="left"/>
      <w:lvlText w:val="(%2)"/>
      <w:numFmt w:val="lowerRoman"/>
      <w:start w:val="3"/>
    </w:lvl>
  </w:abstractNum>
  <w:abstractNum w:abstractNumId="56">
    <w:nsid w:val="2A082C70"/>
    <w:multiLevelType w:val="hybridMultilevel"/>
    <w:lvl w:ilvl="0">
      <w:lvlJc w:val="left"/>
      <w:lvlText w:val="(%1)"/>
      <w:numFmt w:val="lowerLetter"/>
      <w:start w:val="10"/>
    </w:lvl>
    <w:lvl w:ilvl="1">
      <w:lvlJc w:val="left"/>
      <w:lvlText w:val="%2"/>
      <w:numFmt w:val="lowerRoman"/>
      <w:start w:val="1"/>
    </w:lvl>
  </w:abstractNum>
  <w:abstractNum w:abstractNumId="57">
    <w:nsid w:val="5EC6AFD4"/>
    <w:multiLevelType w:val="hybridMultilevel"/>
    <w:lvl w:ilvl="0">
      <w:lvlJc w:val="left"/>
      <w:lvlText w:val="%1"/>
      <w:numFmt w:val="lowerLetter"/>
      <w:start w:val="1"/>
    </w:lvl>
    <w:lvl w:ilvl="1">
      <w:lvlJc w:val="left"/>
      <w:lvlText w:val="(%2)"/>
      <w:numFmt w:val="lowerRoman"/>
      <w:start w:val="1"/>
    </w:lvl>
  </w:abstractNum>
  <w:abstractNum w:abstractNumId="58">
    <w:nsid w:val="19E21BB2"/>
    <w:multiLevelType w:val="hybridMultilevel"/>
    <w:lvl w:ilvl="0">
      <w:lvlJc w:val="left"/>
      <w:lvlText w:val="(%1)"/>
      <w:numFmt w:val="lowerLetter"/>
      <w:start w:val="15"/>
    </w:lvl>
    <w:lvl w:ilvl="1">
      <w:lvlJc w:val="left"/>
      <w:lvlText w:val="%2"/>
      <w:numFmt w:val="lowerRoman"/>
      <w:start w:val="1"/>
    </w:lvl>
  </w:abstractNum>
  <w:abstractNum w:abstractNumId="59">
    <w:nsid w:val="75E0858A"/>
    <w:multiLevelType w:val="hybridMultilevel"/>
    <w:lvl w:ilvl="0">
      <w:lvlJc w:val="left"/>
      <w:lvlText w:val="%1."/>
      <w:numFmt w:val="decimal"/>
      <w:start w:val="2"/>
    </w:lvl>
    <w:lvl w:ilvl="1">
      <w:lvlJc w:val="left"/>
      <w:lvlText w:val="(%2)"/>
      <w:numFmt w:val="lowerLetter"/>
      <w:start w:val="2"/>
    </w:lvl>
  </w:abstractNum>
  <w:abstractNum w:abstractNumId="60">
    <w:nsid w:val="57A61A29"/>
    <w:multiLevelType w:val="hybridMultilevel"/>
    <w:lvl w:ilvl="0">
      <w:lvlJc w:val="left"/>
      <w:lvlText w:val="%1."/>
      <w:numFmt w:val="decimal"/>
      <w:start w:val="4"/>
    </w:lvl>
  </w:abstractNum>
  <w:abstractNum w:abstractNumId="61">
    <w:nsid w:val="5399C654"/>
    <w:multiLevelType w:val="hybridMultilevel"/>
    <w:lvl w:ilvl="0">
      <w:lvlJc w:val="left"/>
      <w:lvlText w:val="%1."/>
      <w:numFmt w:val="decimal"/>
      <w:start w:val="1"/>
    </w:lvl>
  </w:abstractNum>
  <w:abstractNum w:abstractNumId="62">
    <w:nsid w:val="20EE1348"/>
    <w:multiLevelType w:val="hybridMultilevel"/>
    <w:lvl w:ilvl="0">
      <w:lvlJc w:val="left"/>
      <w:lvlText w:val="(%1)"/>
      <w:numFmt w:val="lowerLetter"/>
      <w:start w:val="1"/>
    </w:lvl>
  </w:abstractNum>
  <w:abstractNum w:abstractNumId="63">
    <w:nsid w:val="4427069A"/>
    <w:multiLevelType w:val="hybridMultilevel"/>
    <w:lvl w:ilvl="0">
      <w:lvlJc w:val="left"/>
      <w:lvlText w:val="(%1)"/>
      <w:numFmt w:val="lowerLetter"/>
      <w:start w:val="2"/>
    </w:lvl>
  </w:abstractNum>
  <w:abstractNum w:abstractNumId="64">
    <w:nsid w:val="B37E80A"/>
    <w:multiLevelType w:val="hybridMultilevel"/>
    <w:lvl w:ilvl="0">
      <w:lvlJc w:val="left"/>
      <w:lvlText w:val="%1."/>
      <w:numFmt w:val="decimal"/>
      <w:start w:val="4"/>
    </w:lvl>
    <w:lvl w:ilvl="1">
      <w:lvlJc w:val="left"/>
      <w:lvlText w:val="(%2)"/>
      <w:numFmt w:val="lowerLetter"/>
      <w:start w:val="1"/>
    </w:lvl>
  </w:abstractNum>
  <w:abstractNum w:abstractNumId="65">
    <w:nsid w:val="2157F6BC"/>
    <w:multiLevelType w:val="hybridMultilevel"/>
    <w:lvl w:ilvl="0">
      <w:lvlJc w:val="left"/>
      <w:lvlText w:val="%1."/>
      <w:numFmt w:val="decimal"/>
      <w:start w:val="5"/>
    </w:lvl>
    <w:lvl w:ilvl="1">
      <w:lvlJc w:val="left"/>
      <w:lvlText w:val="(%2)"/>
      <w:numFmt w:val="lowerLetter"/>
      <w:start w:val="1"/>
    </w:lvl>
  </w:abstractNum>
  <w:abstractNum w:abstractNumId="66">
    <w:nsid w:val="704E1DD5"/>
    <w:multiLevelType w:val="hybridMultilevel"/>
    <w:lvl w:ilvl="0">
      <w:lvlJc w:val="left"/>
      <w:lvlText w:val="%1."/>
      <w:numFmt w:val="decimal"/>
      <w:start w:val="6"/>
    </w:lvl>
    <w:lvl w:ilvl="1">
      <w:lvlJc w:val="left"/>
      <w:lvlText w:val="(%2)"/>
      <w:numFmt w:val="lowerLetter"/>
      <w:start w:val="1"/>
    </w:lvl>
  </w:abstractNum>
  <w:abstractNum w:abstractNumId="67">
    <w:nsid w:val="57D2F10E"/>
    <w:multiLevelType w:val="hybridMultilevel"/>
    <w:lvl w:ilvl="0">
      <w:lvlJc w:val="left"/>
      <w:lvlText w:val="(%1)"/>
      <w:numFmt w:val="lowerLetter"/>
      <w:start w:val="2"/>
    </w:lvl>
  </w:abstractNum>
  <w:abstractNum w:abstractNumId="68">
    <w:nsid w:val="BFFAE1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9">
    <w:nsid w:val="E3E47A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70">
    <w:nsid w:val="2E48F04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71">
    <w:nsid w:val="49D0FEAC"/>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72">
    <w:nsid w:val="4BEE5A5B"/>
    <w:multiLevelType w:val="hybridMultilevel"/>
    <w:lvl w:ilvl="0">
      <w:lvlJc w:val="left"/>
      <w:lvlText w:val="%1."/>
      <w:numFmt w:val="decimal"/>
      <w:start w:val="8"/>
    </w:lvl>
    <w:lvl w:ilvl="1">
      <w:lvlJc w:val="left"/>
      <w:lvlText w:val="(%2)"/>
      <w:numFmt w:val="lowerLetter"/>
      <w:start w:val="1"/>
    </w:lvl>
  </w:abstractNum>
  <w:abstractNum w:abstractNumId="73">
    <w:nsid w:val="5551B9F3"/>
    <w:multiLevelType w:val="hybridMultilevel"/>
    <w:lvl w:ilvl="0">
      <w:lvlJc w:val="left"/>
      <w:lvlText w:val="(%1)"/>
      <w:numFmt w:val="lowerLetter"/>
      <w:start w:val="2"/>
    </w:lvl>
  </w:abstractNum>
  <w:abstractNum w:abstractNumId="74">
    <w:nsid w:val="24F6AB8E"/>
    <w:multiLevelType w:val="hybridMultilevel"/>
    <w:lvl w:ilvl="0">
      <w:lvlJc w:val="left"/>
      <w:lvlText w:val="%1."/>
      <w:numFmt w:val="decimal"/>
      <w:start w:val="10"/>
    </w:lvl>
    <w:lvl w:ilvl="1">
      <w:lvlJc w:val="left"/>
      <w:lvlText w:val="(%2)"/>
      <w:numFmt w:val="lowerLetter"/>
      <w:start w:val="1"/>
    </w:lvl>
  </w:abstractNum>
  <w:abstractNum w:abstractNumId="75">
    <w:nsid w:val="634C574C"/>
    <w:multiLevelType w:val="hybridMultilevel"/>
    <w:lvl w:ilvl="0">
      <w:lvlJc w:val="left"/>
      <w:lvlText w:val="(%1)"/>
      <w:numFmt w:val="lowerLetter"/>
      <w:start w:val="2"/>
    </w:lvl>
  </w:abstractNum>
  <w:abstractNum w:abstractNumId="76">
    <w:nsid w:val="24E99DD7"/>
    <w:multiLevelType w:val="hybridMultilevel"/>
    <w:lvl w:ilvl="0">
      <w:lvlJc w:val="left"/>
      <w:lvlText w:val="(%1)"/>
      <w:numFmt w:val="lowerLetter"/>
      <w:start w:val="4"/>
    </w:lvl>
  </w:abstractNum>
  <w:abstractNum w:abstractNumId="77">
    <w:nsid w:val="2A31B62D"/>
    <w:multiLevelType w:val="hybridMultilevel"/>
    <w:lvl w:ilvl="0">
      <w:lvlJc w:val="left"/>
      <w:lvlText w:val="(%1)"/>
      <w:numFmt w:val="lowerLetter"/>
      <w:start w:val="7"/>
    </w:lvl>
    <w:lvl w:ilvl="1">
      <w:lvlJc w:val="left"/>
      <w:lvlText w:val="(%2)"/>
      <w:numFmt w:val="lowerLetter"/>
      <w:start w:val="9"/>
    </w:lvl>
  </w:abstractNum>
  <w:abstractNum w:abstractNumId="78">
    <w:nsid w:val="1849C29B"/>
    <w:multiLevelType w:val="hybridMultilevel"/>
    <w:lvl w:ilvl="0">
      <w:lvlJc w:val="left"/>
      <w:lvlText w:val="%1"/>
      <w:numFmt w:val="lowerLetter"/>
      <w:start w:val="1"/>
    </w:lvl>
    <w:lvl w:ilvl="1">
      <w:lvlJc w:val="left"/>
      <w:lvlText w:val="(%2)"/>
      <w:numFmt w:val="lowerRoman"/>
      <w:start w:val="2"/>
    </w:lvl>
  </w:abstractNum>
  <w:abstractNum w:abstractNumId="79">
    <w:nsid w:val="7DFF9D09"/>
    <w:multiLevelType w:val="hybridMultilevel"/>
    <w:lvl w:ilvl="0">
      <w:lvlJc w:val="left"/>
      <w:lvlText w:val="(%1)"/>
      <w:numFmt w:val="lowerLetter"/>
      <w:start w:val="10"/>
    </w:lvl>
    <w:lvl w:ilvl="1">
      <w:lvlJc w:val="left"/>
      <w:lvlText w:val="%2"/>
      <w:numFmt w:val="lowerRoman"/>
      <w:start w:val="1"/>
    </w:lvl>
  </w:abstractNum>
  <w:abstractNum w:abstractNumId="80">
    <w:nsid w:val="754342"/>
    <w:multiLevelType w:val="hybridMultilevel"/>
    <w:lvl w:ilvl="0">
      <w:lvlJc w:val="left"/>
      <w:lvlText w:val="(%1)"/>
      <w:numFmt w:val="lowerLetter"/>
      <w:start w:val="14"/>
    </w:lvl>
    <w:lvl w:ilvl="1">
      <w:lvlJc w:val="left"/>
      <w:lvlText w:val="(%2)"/>
      <w:numFmt w:val="lowerRoman"/>
      <w:start w:val="1"/>
    </w:lvl>
    <w:lvl w:ilvl="2">
      <w:lvlJc w:val="left"/>
      <w:lvlText w:val="(%3)"/>
      <w:numFmt w:val="lowerRoman"/>
      <w:start w:val="1"/>
    </w:lvl>
  </w:abstractNum>
  <w:abstractNum w:abstractNumId="81">
    <w:nsid w:val="69E7F3E5"/>
    <w:multiLevelType w:val="hybridMultilevel"/>
    <w:lvl w:ilvl="0">
      <w:lvlJc w:val="left"/>
      <w:lvlText w:val="(%1)"/>
      <w:numFmt w:val="lowerLetter"/>
      <w:start w:val="18"/>
    </w:lvl>
  </w:abstractNum>
  <w:abstractNum w:abstractNumId="82">
    <w:nsid w:val="2A6DE806"/>
    <w:multiLevelType w:val="hybridMultilevel"/>
    <w:lvl w:ilvl="0">
      <w:lvlJc w:val="left"/>
      <w:lvlText w:val="%1."/>
      <w:numFmt w:val="decimal"/>
      <w:start w:val="2"/>
    </w:lvl>
    <w:lvl w:ilvl="1">
      <w:lvlJc w:val="left"/>
      <w:lvlText w:val="(%2)"/>
      <w:numFmt w:val="lowerLetter"/>
      <w:start w:val="2"/>
    </w:lvl>
  </w:abstractNum>
  <w:abstractNum w:abstractNumId="83">
    <w:nsid w:val="1816F8C4"/>
    <w:multiLevelType w:val="hybridMultilevel"/>
    <w:lvl w:ilvl="0">
      <w:lvlJc w:val="left"/>
      <w:lvlText w:val="%1."/>
      <w:numFmt w:val="decimal"/>
      <w:start w:val="4"/>
    </w:lvl>
  </w:abstractNum>
  <w:abstractNum w:abstractNumId="84">
    <w:nsid w:val="37DF2233"/>
    <w:multiLevelType w:val="hybridMultilevel"/>
    <w:lvl w:ilvl="0">
      <w:lvlJc w:val="left"/>
      <w:lvlText w:val="•"/>
      <w:numFmt w:val="bullet"/>
      <w:start w:val="1"/>
    </w:lvl>
    <w:lvl w:ilvl="1">
      <w:lvlJc w:val="left"/>
      <w:lvlText w:val="◦"/>
      <w:numFmt w:val="bullet"/>
      <w:start w:val="1"/>
    </w:lvl>
  </w:abstractNum>
  <w:abstractNum w:abstractNumId="85">
    <w:nsid w:val="7AB49DAF"/>
    <w:multiLevelType w:val="hybridMultilevel"/>
    <w:lvl w:ilvl="0">
      <w:lvlJc w:val="left"/>
      <w:lvlText w:val="%1."/>
      <w:numFmt w:val="decimal"/>
      <w:start w:val="1"/>
    </w:lvl>
  </w:abstractNum>
  <w:abstractNum w:abstractNumId="86">
    <w:nsid w:val="759F82CD"/>
    <w:multiLevelType w:val="hybridMultilevel"/>
    <w:lvl w:ilvl="0">
      <w:lvlJc w:val="left"/>
      <w:lvlText w:val="%1."/>
      <w:numFmt w:val="decimal"/>
      <w:start w:val="5"/>
    </w:lvl>
  </w:abstractNum>
  <w:abstractNum w:abstractNumId="87">
    <w:nsid w:val="61E74EA3"/>
    <w:multiLevelType w:val="hybridMultilevel"/>
    <w:lvl w:ilvl="0">
      <w:lvlJc w:val="left"/>
      <w:lvlText w:val="(%1)"/>
      <w:numFmt w:val="lowerLetter"/>
      <w:start w:val="1"/>
    </w:lvl>
  </w:abstractNum>
  <w:abstractNum w:abstractNumId="88">
    <w:nsid w:val="597B4D84"/>
    <w:multiLevelType w:val="hybridMultilevel"/>
    <w:lvl w:ilvl="0">
      <w:lvlJc w:val="left"/>
      <w:lvlText w:val="%1."/>
      <w:numFmt w:val="decimal"/>
      <w:start w:val="6"/>
    </w:lvl>
    <w:lvl w:ilvl="1">
      <w:lvlJc w:val="left"/>
      <w:lvlText w:val="(%2)"/>
      <w:numFmt w:val="lowerLetter"/>
      <w:start w:val="1"/>
    </w:lvl>
  </w:abstractNum>
  <w:abstractNum w:abstractNumId="89">
    <w:nsid w:val="F819E7F"/>
    <w:multiLevelType w:val="hybridMultilevel"/>
    <w:lvl w:ilvl="0">
      <w:lvlJc w:val="left"/>
      <w:lvlText w:val="%1"/>
      <w:numFmt w:val="decimal"/>
      <w:start w:val="1"/>
    </w:lvl>
    <w:lvl w:ilvl="1">
      <w:lvlJc w:val="left"/>
      <w:lvlText w:val="(%2)"/>
      <w:numFmt w:val="lowerLetter"/>
      <w:start w:val="4"/>
    </w:lvl>
  </w:abstractNum>
  <w:abstractNum w:abstractNumId="90">
    <w:nsid w:val="57C7D42D"/>
    <w:multiLevelType w:val="hybridMultilevel"/>
    <w:lvl w:ilvl="0">
      <w:lvlJc w:val="left"/>
      <w:lvlText w:val="%1."/>
      <w:numFmt w:val="decimal"/>
      <w:start w:val="9"/>
    </w:lvl>
    <w:lvl w:ilvl="1">
      <w:lvlJc w:val="left"/>
      <w:lvlText w:val="(%2)"/>
      <w:numFmt w:val="lowerLetter"/>
      <w:start w:val="1"/>
    </w:lvl>
  </w:abstractNum>
  <w:abstractNum w:abstractNumId="91">
    <w:nsid w:val="312167AD"/>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92">
    <w:nsid w:val="631B64D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3">
    <w:nsid w:val="78B5E776"/>
    <w:multiLevelType w:val="hybridMultilevel"/>
    <w:lvl w:ilvl="0">
      <w:lvlJc w:val="left"/>
      <w:lvlText w:val="%1."/>
      <w:numFmt w:val="decimal"/>
      <w:start w:val="11"/>
    </w:lvl>
  </w:abstractNum>
  <w:abstractNum w:abstractNumId="94">
    <w:nsid w:val="75486E47"/>
    <w:multiLevelType w:val="hybridMultilevel"/>
    <w:lvl w:ilvl="0">
      <w:lvlJc w:val="left"/>
      <w:lvlText w:val="%1."/>
      <w:numFmt w:val="decimal"/>
      <w:start w:val="14"/>
    </w:lvl>
  </w:abstractNum>
  <w:abstractNum w:abstractNumId="95">
    <w:nsid w:val="6E534CDE"/>
    <w:multiLevelType w:val="hybridMultilevel"/>
    <w:lvl w:ilvl="0">
      <w:lvlJc w:val="left"/>
      <w:lvlText w:val="%1"/>
      <w:numFmt w:val="decimal"/>
      <w:start w:val="1"/>
    </w:lvl>
    <w:lvl w:ilvl="1">
      <w:lvlJc w:val="left"/>
      <w:lvlText w:val="%2."/>
      <w:numFmt w:val="decimal"/>
      <w:start w:val="21"/>
    </w:lvl>
  </w:abstractNum>
  <w:abstractNum w:abstractNumId="96">
    <w:nsid w:val="1A0DDE32"/>
    <w:multiLevelType w:val="hybridMultilevel"/>
    <w:lvl w:ilvl="0">
      <w:lvlJc w:val="left"/>
      <w:lvlText w:val="(%1)"/>
      <w:numFmt w:val="decimal"/>
      <w:start w:val="2"/>
    </w:lvl>
    <w:lvl w:ilvl="1">
      <w:lvlJc w:val="left"/>
      <w:lvlText w:val="%2."/>
      <w:numFmt w:val="decimal"/>
      <w:start w:val="26"/>
    </w:lvl>
  </w:abstractNum>
  <w:abstractNum w:abstractNumId="97">
    <w:nsid w:val="65968C1C"/>
    <w:multiLevelType w:val="hybridMultilevel"/>
    <w:lvl w:ilvl="0">
      <w:lvlJc w:val="left"/>
      <w:lvlText w:val="%1."/>
      <w:numFmt w:val="decimal"/>
      <w:start w:val="1"/>
    </w:lvl>
  </w:abstractNum>
  <w:abstractNum w:abstractNumId="98">
    <w:nsid w:val="46263DEC"/>
    <w:multiLevelType w:val="hybridMultilevel"/>
    <w:lvl w:ilvl="0">
      <w:lvlJc w:val="left"/>
      <w:lvlText w:val="%1."/>
      <w:numFmt w:val="decimal"/>
      <w:start w:val="2"/>
    </w:lvl>
  </w:abstractNum>
  <w:abstractNum w:abstractNumId="99">
    <w:nsid w:val="260D8C4A"/>
    <w:multiLevelType w:val="hybridMultilevel"/>
    <w:lvl w:ilvl="0">
      <w:lvlJc w:val="left"/>
      <w:lvlText w:val="(%1)"/>
      <w:numFmt w:val="lowerLetter"/>
      <w:start w:val="1"/>
    </w:lvl>
  </w:abstractNum>
  <w:abstractNum w:abstractNumId="100">
    <w:nsid w:val="73D4D3C4"/>
    <w:multiLevelType w:val="hybridMultilevel"/>
    <w:lvl w:ilvl="0">
      <w:lvlJc w:val="left"/>
      <w:lvlText w:val="(%1)"/>
      <w:numFmt w:val="lowerRoman"/>
      <w:start w:val="1"/>
    </w:lvl>
  </w:abstractNum>
  <w:abstractNum w:abstractNumId="101">
    <w:nsid w:val="746F2E30"/>
    <w:multiLevelType w:val="hybridMultilevel"/>
    <w:lvl w:ilvl="0">
      <w:lvlJc w:val="left"/>
      <w:lvlText w:val="(%1)"/>
      <w:numFmt w:val="lowerLetter"/>
      <w:start w:val="2"/>
    </w:lvl>
  </w:abstractNum>
  <w:abstractNum w:abstractNumId="102">
    <w:nsid w:val="6FDE8AF6"/>
    <w:multiLevelType w:val="hybridMultilevel"/>
    <w:lvl w:ilvl="0">
      <w:lvlJc w:val="left"/>
      <w:lvlText w:val="(%1)"/>
      <w:numFmt w:val="lowerRoman"/>
      <w:start w:val="1"/>
    </w:lvl>
  </w:abstractNum>
  <w:abstractNum w:abstractNumId="103">
    <w:nsid w:val="3FC32E20"/>
    <w:multiLevelType w:val="hybridMultilevel"/>
    <w:lvl w:ilvl="0">
      <w:lvlJc w:val="left"/>
      <w:lvlText w:val="(%1)"/>
      <w:numFmt w:val="lowerLetter"/>
      <w:start w:val="3"/>
    </w:lvl>
  </w:abstractNum>
  <w:abstractNum w:abstractNumId="104">
    <w:nsid w:val="49C0E823"/>
    <w:multiLevelType w:val="hybridMultilevel"/>
    <w:lvl w:ilvl="0">
      <w:lvlJc w:val="left"/>
      <w:lvlText w:val="(%1)"/>
      <w:numFmt w:val="lowerRoman"/>
      <w:start w:val="1"/>
    </w:lvl>
  </w:abstractNum>
  <w:abstractNum w:abstractNumId="105">
    <w:nsid w:val="14D53685"/>
    <w:multiLevelType w:val="hybridMultilevel"/>
    <w:lvl w:ilvl="0">
      <w:lvlJc w:val="left"/>
      <w:lvlText w:val="%1."/>
      <w:numFmt w:val="decimal"/>
      <w:start w:val="1"/>
    </w:lvl>
    <w:lvl w:ilvl="1">
      <w:lvlJc w:val="left"/>
      <w:lvlText w:val="(%2)"/>
      <w:numFmt w:val="lowerLetter"/>
      <w:start w:val="1"/>
    </w:lvl>
  </w:abstractNum>
  <w:abstractNum w:abstractNumId="106">
    <w:nsid w:val="230F856C"/>
    <w:multiLevelType w:val="hybridMultilevel"/>
    <w:lvl w:ilvl="0">
      <w:lvlJc w:val="left"/>
      <w:lvlText w:val="%1."/>
      <w:numFmt w:val="decimal"/>
      <w:start w:val="5"/>
    </w:lvl>
  </w:abstractNum>
  <w:abstractNum w:abstractNumId="107">
    <w:nsid w:val="6EAA85FB"/>
    <w:multiLevelType w:val="hybridMultilevel"/>
    <w:lvl w:ilvl="0">
      <w:lvlJc w:val="left"/>
      <w:lvlText w:val="%1."/>
      <w:numFmt w:val="decimal"/>
      <w:start w:val="7"/>
    </w:lvl>
  </w:abstractNum>
  <w:abstractNum w:abstractNumId="108">
    <w:nsid w:val="3F06ECB2"/>
    <w:multiLevelType w:val="hybridMultilevel"/>
    <w:lvl w:ilvl="0">
      <w:lvlJc w:val="left"/>
      <w:lvlText w:val="%1."/>
      <w:numFmt w:val="decimal"/>
      <w:start w:val="8"/>
    </w:lvl>
    <w:lvl w:ilvl="1">
      <w:lvlJc w:val="left"/>
      <w:lvlText w:val="(%2)"/>
      <w:numFmt w:val="lowerLetter"/>
      <w:start w:val="1"/>
    </w:lvl>
  </w:abstractNum>
  <w:abstractNum w:abstractNumId="109">
    <w:nsid w:val="3B594807"/>
    <w:multiLevelType w:val="hybridMultilevel"/>
    <w:lvl w:ilvl="0">
      <w:lvlJc w:val="left"/>
      <w:lvlText w:val="%1"/>
      <w:numFmt w:val="decimal"/>
      <w:start w:val="1"/>
    </w:lvl>
    <w:lvl w:ilvl="1">
      <w:lvlJc w:val="left"/>
      <w:lvlText w:val="(%2)"/>
      <w:numFmt w:val="lowerLetter"/>
      <w:start w:val="3"/>
    </w:lvl>
  </w:abstractNum>
  <w:abstractNum w:abstractNumId="110">
    <w:nsid w:val="6CAA2304"/>
    <w:multiLevelType w:val="hybridMultilevel"/>
    <w:lvl w:ilvl="0">
      <w:lvlJc w:val="left"/>
      <w:lvlText w:val="%1."/>
      <w:numFmt w:val="decimal"/>
      <w:start w:val="11"/>
    </w:lvl>
    <w:lvl w:ilvl="1">
      <w:lvlJc w:val="left"/>
      <w:lvlText w:val="(%2)"/>
      <w:numFmt w:val="lowerLetter"/>
      <w:start w:val="1"/>
    </w:lvl>
  </w:abstractNum>
  <w:abstractNum w:abstractNumId="111">
    <w:nsid w:val="3F7C2FF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12">
    <w:nsid w:val="25413BE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13">
    <w:nsid w:val="17180B0B"/>
    <w:multiLevelType w:val="hybridMultilevel"/>
    <w:lvl w:ilvl="0">
      <w:lvlJc w:val="left"/>
      <w:lvlText w:val="%1."/>
      <w:numFmt w:val="decimal"/>
      <w:start w:val="13"/>
    </w:lvl>
  </w:abstractNum>
  <w:abstractNum w:abstractNumId="114">
    <w:nsid w:val="579328B9"/>
    <w:multiLevelType w:val="hybridMultilevel"/>
    <w:lvl w:ilvl="0">
      <w:lvlJc w:val="left"/>
      <w:lvlText w:val="%1."/>
      <w:numFmt w:val="decimal"/>
      <w:start w:val="17"/>
    </w:lvl>
  </w:abstractNum>
  <w:abstractNum w:abstractNumId="115">
    <w:nsid w:val="5D205E20"/>
    <w:multiLevelType w:val="hybridMultilevel"/>
    <w:lvl w:ilvl="0">
      <w:lvlJc w:val="left"/>
      <w:lvlText w:val="%1."/>
      <w:numFmt w:val="decimal"/>
      <w:start w:val="24"/>
    </w:lvl>
  </w:abstractNum>
  <w:abstractNum w:abstractNumId="116">
    <w:nsid w:val="11CCA8BA"/>
    <w:multiLevelType w:val="hybridMultilevel"/>
    <w:lvl w:ilvl="0">
      <w:lvlJc w:val="left"/>
      <w:lvlText w:val="%1."/>
      <w:numFmt w:val="decimal"/>
      <w:start w:val="1"/>
    </w:lvl>
  </w:abstractNum>
  <w:abstractNum w:abstractNumId="117">
    <w:nsid w:val="4D32AB8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8">
    <w:nsid w:val="3F07ACC3"/>
    <w:multiLevelType w:val="hybridMultilevel"/>
    <w:lvl w:ilvl="0">
      <w:lvlJc w:val="left"/>
      <w:lvlText w:val="(%1)"/>
      <w:numFmt w:val="lowerRoman"/>
      <w:start w:val="2"/>
    </w:lvl>
    <w:lvl w:ilvl="1">
      <w:lvlJc w:val="left"/>
      <w:lvlText w:val="(%2)"/>
      <w:numFmt w:val="upperLetter"/>
      <w:start w:val="1"/>
    </w:lvl>
  </w:abstractNum>
  <w:abstractNum w:abstractNumId="119">
    <w:nsid w:val="6B47F63E"/>
    <w:multiLevelType w:val="hybridMultilevel"/>
    <w:lvl w:ilvl="0">
      <w:lvlJc w:val="left"/>
      <w:lvlText w:val="%1"/>
      <w:numFmt w:val="lowerLetter"/>
      <w:start w:val="1"/>
    </w:lvl>
    <w:lvl w:ilvl="1">
      <w:lvlJc w:val="left"/>
      <w:lvlText w:val="(%2)"/>
      <w:numFmt w:val="lowerLetter"/>
      <w:start w:val="22"/>
    </w:lvl>
  </w:abstractNum>
  <w:abstractNum w:abstractNumId="120">
    <w:nsid w:val="5CB44A05"/>
    <w:multiLevelType w:val="hybridMultilevel"/>
    <w:lvl w:ilvl="0">
      <w:lvlJc w:val="left"/>
      <w:lvlText w:val="(%1)"/>
      <w:numFmt w:val="lowerLetter"/>
      <w:start w:val="3"/>
    </w:lvl>
    <w:lvl w:ilvl="1">
      <w:lvlJc w:val="left"/>
      <w:lvlText w:val="(%2)"/>
      <w:numFmt w:val="lowerLetter"/>
      <w:start w:val="9"/>
    </w:lvl>
  </w:abstractNum>
  <w:abstractNum w:abstractNumId="121">
    <w:nsid w:val="16CF80F1"/>
    <w:multiLevelType w:val="hybridMultilevel"/>
    <w:lvl w:ilvl="0">
      <w:lvlJc w:val="left"/>
      <w:lvlText w:val="(%1)"/>
      <w:numFmt w:val="lowerRoman"/>
      <w:start w:val="2"/>
    </w:lvl>
  </w:abstractNum>
  <w:abstractNum w:abstractNumId="122">
    <w:nsid w:val="1C695DEC"/>
    <w:multiLevelType w:val="hybridMultilevel"/>
    <w:lvl w:ilvl="0">
      <w:lvlJc w:val="left"/>
      <w:lvlText w:val="%1."/>
      <w:numFmt w:val="decimal"/>
      <w:start w:val="3"/>
    </w:lvl>
  </w:abstractNum>
  <w:abstractNum w:abstractNumId="123">
    <w:nsid w:val="3FCFAED9"/>
    <w:multiLevelType w:val="hybridMultilevel"/>
    <w:lvl w:ilvl="0">
      <w:lvlJc w:val="left"/>
      <w:lvlText w:val="%1."/>
      <w:numFmt w:val="decimal"/>
      <w:start w:val="1"/>
    </w:lvl>
    <w:lvl w:ilvl="1">
      <w:lvlJc w:val="left"/>
      <w:lvlText w:val="(%2)"/>
      <w:numFmt w:val="lowerLetter"/>
      <w:start w:val="1"/>
    </w:lvl>
  </w:abstractNum>
  <w:abstractNum w:abstractNumId="124">
    <w:nsid w:val="F856867"/>
    <w:multiLevelType w:val="hybridMultilevel"/>
    <w:lvl w:ilvl="0">
      <w:lvlJc w:val="left"/>
      <w:lvlText w:val="%1"/>
      <w:numFmt w:val="decimal"/>
      <w:start w:val="1"/>
    </w:lvl>
    <w:lvl w:ilvl="1">
      <w:lvlJc w:val="left"/>
      <w:lvlText w:val="(%2)"/>
      <w:numFmt w:val="lowerLetter"/>
      <w:start w:val="6"/>
    </w:lvl>
  </w:abstractNum>
  <w:abstractNum w:abstractNumId="125">
    <w:nsid w:val="11B1CC33"/>
    <w:multiLevelType w:val="hybridMultilevel"/>
    <w:lvl w:ilvl="0">
      <w:lvlJc w:val="left"/>
      <w:lvlText w:val="%1."/>
      <w:numFmt w:val="decimal"/>
      <w:start w:val="3"/>
    </w:lvl>
    <w:lvl w:ilvl="1">
      <w:lvlJc w:val="left"/>
      <w:lvlText w:val="(%2)"/>
      <w:numFmt w:val="lowerLetter"/>
      <w:start w:val="1"/>
    </w:lvl>
  </w:abstractNum>
  <w:abstractNum w:abstractNumId="126">
    <w:nsid w:val="2E22FBB7"/>
    <w:multiLevelType w:val="hybridMultilevel"/>
    <w:lvl w:ilvl="0">
      <w:lvlJc w:val="left"/>
      <w:lvlText w:val="%1."/>
      <w:numFmt w:val="decimal"/>
      <w:start w:val="6"/>
    </w:lvl>
  </w:abstractNum>
  <w:abstractNum w:abstractNumId="127">
    <w:nsid w:val="29934699"/>
    <w:multiLevelType w:val="hybridMultilevel"/>
    <w:lvl w:ilvl="0">
      <w:lvlJc w:val="left"/>
      <w:lvlText w:val="%1."/>
      <w:numFmt w:val="decimal"/>
      <w:start w:val="8"/>
    </w:lvl>
  </w:abstractNum>
  <w:abstractNum w:abstractNumId="128">
    <w:nsid w:val="77485850"/>
    <w:multiLevelType w:val="hybridMultilevel"/>
    <w:lvl w:ilvl="0">
      <w:lvlJc w:val="left"/>
      <w:lvlText w:val="%1."/>
      <w:numFmt w:val="decimal"/>
      <w:start w:val="9"/>
    </w:lvl>
    <w:lvl w:ilvl="1">
      <w:lvlJc w:val="left"/>
      <w:lvlText w:val="(%2)"/>
      <w:numFmt w:val="lowerLetter"/>
      <w:start w:val="1"/>
    </w:lvl>
  </w:abstractNum>
  <w:abstractNum w:abstractNumId="129">
    <w:nsid w:val="744939A3"/>
    <w:multiLevelType w:val="hybridMultilevel"/>
    <w:lvl w:ilvl="0">
      <w:lvlJc w:val="left"/>
      <w:lvlText w:val="%1"/>
      <w:numFmt w:val="decimal"/>
      <w:start w:val="1"/>
    </w:lvl>
    <w:lvl w:ilvl="1">
      <w:lvlJc w:val="left"/>
      <w:lvlText w:val="(%2)"/>
      <w:numFmt w:val="lowerLetter"/>
      <w:start w:val="3"/>
    </w:lvl>
  </w:abstractNum>
  <w:abstractNum w:abstractNumId="130">
    <w:nsid w:val="4FA0D2E3"/>
    <w:multiLevelType w:val="hybridMultilevel"/>
    <w:lvl w:ilvl="0">
      <w:lvlJc w:val="left"/>
      <w:lvlText w:val="%1."/>
      <w:numFmt w:val="decimal"/>
      <w:start w:val="12"/>
    </w:lvl>
    <w:lvl w:ilvl="1">
      <w:lvlJc w:val="left"/>
      <w:lvlText w:val="%2"/>
      <w:numFmt w:val="lowerLetter"/>
      <w:start w:val="1"/>
    </w:lvl>
  </w:abstractNum>
  <w:abstractNum w:abstractNumId="131">
    <w:nsid w:val="6B1D2C14"/>
    <w:multiLevelType w:val="hybridMultilevel"/>
    <w:lvl w:ilvl="0">
      <w:lvlJc w:val="left"/>
      <w:lvlText w:val="(%1)"/>
      <w:numFmt w:val="lowerLetter"/>
      <w:start w:val="1"/>
    </w:lvl>
  </w:abstractNum>
  <w:abstractNum w:abstractNumId="132">
    <w:nsid w:val="68B867D3"/>
    <w:multiLevelType w:val="hybridMultilevel"/>
    <w:lvl w:ilvl="0">
      <w:lvlJc w:val="left"/>
      <w:lvlText w:val="(%1)"/>
      <w:numFmt w:val="lowerLetter"/>
      <w:start w:val="7"/>
    </w:lvl>
    <w:lvl w:ilvl="1">
      <w:lvlJc w:val="left"/>
      <w:lvlText w:val="(%2)"/>
      <w:numFmt w:val="lowerRoman"/>
      <w:start w:val="1"/>
    </w:lvl>
  </w:abstractNum>
  <w:abstractNum w:abstractNumId="133">
    <w:nsid w:val="3F7F5DD9"/>
    <w:multiLevelType w:val="hybridMultilevel"/>
    <w:lvl w:ilvl="0">
      <w:lvlJc w:val="left"/>
      <w:lvlText w:val="%1."/>
      <w:numFmt w:val="decimal"/>
      <w:start w:val="13"/>
    </w:lvl>
  </w:abstractNum>
  <w:abstractNum w:abstractNumId="134">
    <w:nsid w:val="2AE05A34"/>
    <w:multiLevelType w:val="hybridMultilevel"/>
    <w:lvl w:ilvl="0">
      <w:lvlJc w:val="left"/>
      <w:lvlText w:val="%1."/>
      <w:numFmt w:val="decimal"/>
      <w:start w:val="14"/>
    </w:lvl>
  </w:abstractNum>
  <w:abstractNum w:abstractNumId="135">
    <w:nsid w:val="32794FF7"/>
    <w:multiLevelType w:val="hybridMultilevel"/>
    <w:lvl w:ilvl="0">
      <w:lvlJc w:val="left"/>
      <w:lvlText w:val="%1."/>
      <w:numFmt w:val="decimal"/>
      <w:start w:val="18"/>
    </w:lvl>
  </w:abstractNum>
  <w:abstractNum w:abstractNumId="136">
    <w:nsid w:val="5454945E"/>
    <w:multiLevelType w:val="hybridMultilevel"/>
    <w:lvl w:ilvl="0">
      <w:lvlJc w:val="left"/>
      <w:lvlText w:val="%1."/>
      <w:numFmt w:val="decimal"/>
      <w:start w:val="25"/>
    </w:lvl>
  </w:abstractNum>
  <w:abstractNum w:abstractNumId="137">
    <w:nsid w:val="4DEFDFA0"/>
    <w:multiLevelType w:val="hybridMultilevel"/>
    <w:lvl w:ilvl="0">
      <w:lvlJc w:val="left"/>
      <w:lvlText w:val="%1."/>
      <w:numFmt w:val="decimal"/>
      <w:start w:val="1"/>
    </w:lvl>
    <w:lvl w:ilvl="1">
      <w:lvlJc w:val="left"/>
      <w:lvlText w:val="(%2)"/>
      <w:numFmt w:val="lowerLetter"/>
      <w:start w:val="1"/>
    </w:lvl>
  </w:abstractNum>
  <w:abstractNum w:abstractNumId="138">
    <w:nsid w:val="2123D5F2"/>
    <w:multiLevelType w:val="hybridMultilevel"/>
    <w:lvl w:ilvl="0">
      <w:lvlJc w:val="left"/>
      <w:lvlText w:val="%1"/>
      <w:numFmt w:val="decimal"/>
      <w:start w:val="1"/>
    </w:lvl>
    <w:lvl w:ilvl="1">
      <w:lvlJc w:val="left"/>
      <w:lvlText w:val="(%2)"/>
      <w:numFmt w:val="lowerLetter"/>
      <w:start w:val="4"/>
    </w:lvl>
  </w:abstractNum>
  <w:abstractNum w:abstractNumId="139">
    <w:nsid w:val="135B8110"/>
    <w:multiLevelType w:val="hybridMultilevel"/>
    <w:lvl w:ilvl="0">
      <w:lvlJc w:val="left"/>
      <w:lvlText w:val="%1."/>
      <w:numFmt w:val="decimal"/>
      <w:start w:val="2"/>
    </w:lvl>
    <w:lvl w:ilvl="1">
      <w:lvlJc w:val="left"/>
      <w:lvlText w:val="%2"/>
      <w:numFmt w:val="lowerLetter"/>
      <w:start w:val="1"/>
    </w:lvl>
  </w:abstractNum>
  <w:abstractNum w:abstractNumId="140">
    <w:nsid w:val="94927A8"/>
    <w:multiLevelType w:val="hybridMultilevel"/>
    <w:lvl w:ilvl="0">
      <w:lvlJc w:val="left"/>
      <w:lvlText w:val="%1."/>
      <w:numFmt w:val="decimal"/>
      <w:start w:val="3"/>
    </w:lvl>
  </w:abstractNum>
  <w:abstractNum w:abstractNumId="141">
    <w:nsid w:val="DCDF8F6"/>
    <w:multiLevelType w:val="hybridMultilevel"/>
    <w:lvl w:ilvl="0">
      <w:lvlJc w:val="left"/>
      <w:lvlText w:val="(%1)"/>
      <w:numFmt w:val="lowerLetter"/>
      <w:start w:val="1"/>
    </w:lvl>
  </w:abstractNum>
  <w:abstractNum w:abstractNumId="142">
    <w:nsid w:val="52D7B105"/>
    <w:multiLevelType w:val="hybridMultilevel"/>
    <w:lvl w:ilvl="0">
      <w:lvlJc w:val="left"/>
      <w:lvlText w:val="(%1)"/>
      <w:numFmt w:val="lowerRoman"/>
      <w:start w:val="1"/>
    </w:lvl>
  </w:abstractNum>
  <w:abstractNum w:abstractNumId="143">
    <w:nsid w:val="2E8A6394"/>
    <w:multiLevelType w:val="hybridMultilevel"/>
    <w:lvl w:ilvl="0">
      <w:lvlJc w:val="left"/>
      <w:lvlText w:val="(%1)"/>
      <w:numFmt w:val="lowerLetter"/>
      <w:start w:val="2"/>
    </w:lvl>
  </w:abstractNum>
  <w:abstractNum w:abstractNumId="144">
    <w:nsid w:val="24E6040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45">
    <w:nsid w:val="2A6AD9BE"/>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146">
    <w:nsid w:val="BAAC1B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47">
    <w:nsid w:val="36B2ACBC"/>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4"/>
    </w:lvl>
  </w:abstractNum>
  <w:abstractNum w:abstractNumId="148">
    <w:nsid w:val="779D8544"/>
    <w:multiLevelType w:val="hybridMultilevel"/>
    <w:lvl w:ilvl="0">
      <w:lvlJc w:val="left"/>
      <w:lvlText w:val="(%1)"/>
      <w:numFmt w:val="lowerLetter"/>
      <w:start w:val="3"/>
    </w:lvl>
  </w:abstractNum>
  <w:abstractNum w:abstractNumId="149">
    <w:nsid w:val="4AB26E78"/>
    <w:multiLevelType w:val="hybridMultilevel"/>
    <w:lvl w:ilvl="0">
      <w:lvlJc w:val="left"/>
      <w:lvlText w:val="(%1)"/>
      <w:numFmt w:val="lowerRoman"/>
      <w:start w:val="1"/>
    </w:lvl>
  </w:abstractNum>
  <w:abstractNum w:abstractNumId="150">
    <w:nsid w:val="21FAA2FA"/>
    <w:multiLevelType w:val="hybridMultilevel"/>
    <w:lvl w:ilvl="0">
      <w:lvlJc w:val="left"/>
      <w:lvlText w:val="%1."/>
      <w:numFmt w:val="decimal"/>
      <w:start w:val="4"/>
    </w:lvl>
    <w:lvl w:ilvl="1">
      <w:lvlJc w:val="left"/>
      <w:lvlText w:val="(%2)"/>
      <w:numFmt w:val="lowerLetter"/>
      <w:start w:val="1"/>
    </w:lvl>
  </w:abstractNum>
  <w:abstractNum w:abstractNumId="151">
    <w:nsid w:val="5451CF49"/>
    <w:multiLevelType w:val="hybridMultilevel"/>
    <w:lvl w:ilvl="0">
      <w:lvlJc w:val="left"/>
      <w:lvlText w:val="%1"/>
      <w:numFmt w:val="decimal"/>
      <w:start w:val="1"/>
    </w:lvl>
    <w:lvl w:ilvl="1">
      <w:lvlJc w:val="left"/>
      <w:lvlText w:val="(%2)"/>
      <w:numFmt w:val="lowerLetter"/>
      <w:start w:val="3"/>
    </w:lvl>
  </w:abstractNum>
  <w:abstractNum w:abstractNumId="152">
    <w:nsid w:val="6181EF69"/>
    <w:multiLevelType w:val="hybridMultilevel"/>
    <w:lvl w:ilvl="0">
      <w:lvlJc w:val="left"/>
      <w:lvlText w:val="%1."/>
      <w:numFmt w:val="decimal"/>
      <w:start w:val="5"/>
    </w:lvl>
    <w:lvl w:ilvl="1">
      <w:lvlJc w:val="left"/>
      <w:lvlText w:val="%2"/>
      <w:numFmt w:val="lowerLetter"/>
      <w:start w:val="1"/>
    </w:lvl>
  </w:abstractNum>
  <w:abstractNum w:abstractNumId="153">
    <w:nsid w:val="3E6400E6"/>
    <w:multiLevelType w:val="hybridMultilevel"/>
    <w:lvl w:ilvl="0">
      <w:lvlJc w:val="left"/>
      <w:lvlText w:val="%1."/>
      <w:numFmt w:val="decimal"/>
      <w:start w:val="1"/>
    </w:lvl>
  </w:abstractNum>
  <w:abstractNum w:abstractNumId="154">
    <w:nsid w:val="14217E23"/>
    <w:multiLevelType w:val="hybridMultilevel"/>
    <w:lvl w:ilvl="0">
      <w:lvlJc w:val="left"/>
      <w:lvlText w:val="%1."/>
      <w:numFmt w:val="decimal"/>
      <w:start w:val="2"/>
    </w:lvl>
  </w:abstractNum>
  <w:abstractNum w:abstractNumId="155">
    <w:nsid w:val="710757D0"/>
    <w:multiLevelType w:val="hybridMultilevel"/>
    <w:lvl w:ilvl="0">
      <w:lvlJc w:val="left"/>
      <w:lvlText w:val="%1."/>
      <w:numFmt w:val="decimal"/>
      <w:start w:val="1"/>
    </w:lvl>
    <w:lvl w:ilvl="1">
      <w:lvlJc w:val="left"/>
      <w:lvlText w:val="(%2)"/>
      <w:numFmt w:val="lowerLetter"/>
      <w:start w:val="1"/>
    </w:lvl>
  </w:abstractNum>
  <w:abstractNum w:abstractNumId="156">
    <w:nsid w:val="5015CD1A"/>
    <w:multiLevelType w:val="hybridMultilevel"/>
    <w:lvl w:ilvl="0">
      <w:lvlJc w:val="left"/>
      <w:lvlText w:val="%1"/>
      <w:numFmt w:val="decimal"/>
      <w:start w:val="1"/>
    </w:lvl>
    <w:lvl w:ilvl="1">
      <w:lvlJc w:val="left"/>
      <w:lvlText w:val="(%2)"/>
      <w:numFmt w:val="lowerLetter"/>
      <w:start w:val="6"/>
    </w:lvl>
  </w:abstractNum>
  <w:abstractNum w:abstractNumId="157">
    <w:nsid w:val="424479DA"/>
    <w:multiLevelType w:val="hybridMultilevel"/>
    <w:lvl w:ilvl="0">
      <w:lvlJc w:val="left"/>
      <w:lvlText w:val="%1."/>
      <w:numFmt w:val="decimal"/>
      <w:start w:val="3"/>
    </w:lvl>
    <w:lvl w:ilvl="1">
      <w:lvlJc w:val="left"/>
      <w:lvlText w:val="(%2)"/>
      <w:numFmt w:val="lowerLetter"/>
      <w:start w:val="1"/>
    </w:lvl>
  </w:abstractNum>
  <w:abstractNum w:abstractNumId="158">
    <w:nsid w:val="1A9A9E69"/>
    <w:multiLevelType w:val="hybridMultilevel"/>
    <w:lvl w:ilvl="0">
      <w:lvlJc w:val="left"/>
      <w:lvlText w:val="%1."/>
      <w:numFmt w:val="decimal"/>
      <w:start w:val="6"/>
    </w:lvl>
  </w:abstractNum>
  <w:abstractNum w:abstractNumId="159">
    <w:nsid w:val="475E256A"/>
    <w:multiLevelType w:val="hybridMultilevel"/>
    <w:lvl w:ilvl="0">
      <w:lvlJc w:val="left"/>
      <w:lvlText w:val="%1."/>
      <w:numFmt w:val="decimal"/>
      <w:start w:val="8"/>
    </w:lvl>
  </w:abstractNum>
  <w:abstractNum w:abstractNumId="160">
    <w:nsid w:val="368DB37E"/>
    <w:multiLevelType w:val="hybridMultilevel"/>
    <w:lvl w:ilvl="0">
      <w:lvlJc w:val="left"/>
      <w:lvlText w:val="%1."/>
      <w:numFmt w:val="decimal"/>
      <w:start w:val="9"/>
    </w:lvl>
    <w:lvl w:ilvl="1">
      <w:lvlJc w:val="left"/>
      <w:lvlText w:val="(%2)"/>
      <w:numFmt w:val="lowerLetter"/>
      <w:start w:val="1"/>
    </w:lvl>
  </w:abstractNum>
  <w:abstractNum w:abstractNumId="161">
    <w:nsid w:val="6A3B714C"/>
    <w:multiLevelType w:val="hybridMultilevel"/>
    <w:lvl w:ilvl="0">
      <w:lvlJc w:val="left"/>
      <w:lvlText w:val="%1"/>
      <w:numFmt w:val="decimal"/>
      <w:start w:val="1"/>
    </w:lvl>
    <w:lvl w:ilvl="1">
      <w:lvlJc w:val="left"/>
      <w:lvlText w:val="(%2)"/>
      <w:numFmt w:val="lowerLetter"/>
      <w:start w:val="3"/>
    </w:lvl>
  </w:abstractNum>
  <w:abstractNum w:abstractNumId="162">
    <w:nsid w:val="327B517E"/>
    <w:multiLevelType w:val="hybridMultilevel"/>
    <w:lvl w:ilvl="0">
      <w:lvlJc w:val="left"/>
      <w:lvlText w:val="%1."/>
      <w:numFmt w:val="decimal"/>
      <w:start w:val="12"/>
    </w:lvl>
    <w:lvl w:ilvl="1">
      <w:lvlJc w:val="left"/>
      <w:lvlText w:val="%2"/>
      <w:numFmt w:val="lowerLetter"/>
      <w:start w:val="1"/>
    </w:lvl>
  </w:abstractNum>
  <w:abstractNum w:abstractNumId="163">
    <w:nsid w:val="1F461B51"/>
    <w:multiLevelType w:val="hybridMultilevel"/>
    <w:lvl w:ilvl="0">
      <w:lvlJc w:val="left"/>
      <w:lvlText w:val="(%1)"/>
      <w:numFmt w:val="lowerLetter"/>
      <w:start w:val="1"/>
    </w:lvl>
  </w:abstractNum>
  <w:abstractNum w:abstractNumId="164">
    <w:nsid w:val="29BACF25"/>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65">
    <w:nsid w:val="5D5BABB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66">
    <w:nsid w:val="51BF6B48"/>
    <w:multiLevelType w:val="hybridMultilevel"/>
    <w:lvl w:ilvl="0">
      <w:lvlJc w:val="left"/>
      <w:lvlText w:val="%1."/>
      <w:numFmt w:val="decimal"/>
      <w:start w:val="14"/>
    </w:lvl>
  </w:abstractNum>
  <w:abstractNum w:abstractNumId="167">
    <w:nsid w:val="7E0F6384"/>
    <w:multiLevelType w:val="hybridMultilevel"/>
    <w:lvl w:ilvl="0">
      <w:lvlJc w:val="left"/>
      <w:lvlText w:val="%1."/>
      <w:numFmt w:val="decimal"/>
      <w:start w:val="18"/>
    </w:lvl>
  </w:abstractNum>
  <w:abstractNum w:abstractNumId="168">
    <w:nsid w:val="2B4B8B53"/>
    <w:multiLevelType w:val="hybridMultilevel"/>
    <w:lvl w:ilvl="0">
      <w:lvlJc w:val="left"/>
      <w:lvlText w:val="%1."/>
      <w:numFmt w:val="decimal"/>
      <w:start w:val="25"/>
    </w:lvl>
  </w:abstractNum>
  <w:abstractNum w:abstractNumId="169">
    <w:nsid w:val="72E3413A"/>
    <w:multiLevelType w:val="hybridMultilevel"/>
    <w:lvl w:ilvl="0">
      <w:lvlJc w:val="left"/>
      <w:lvlText w:val="%1."/>
      <w:numFmt w:val="decimal"/>
      <w:start w:val="1"/>
    </w:lvl>
    <w:lvl w:ilvl="1">
      <w:lvlJc w:val="left"/>
      <w:lvlText w:val="(%2)"/>
      <w:numFmt w:val="lowerLetter"/>
      <w:start w:val="1"/>
    </w:lvl>
  </w:abstractNum>
  <w:abstractNum w:abstractNumId="170">
    <w:nsid w:val="116AE494"/>
    <w:multiLevelType w:val="hybridMultilevel"/>
    <w:lvl w:ilvl="0">
      <w:lvlJc w:val="left"/>
      <w:lvlText w:val="%1."/>
      <w:numFmt w:val="decimal"/>
      <w:start w:val="2"/>
    </w:lvl>
  </w:abstractNum>
  <w:abstractNum w:abstractNumId="171">
    <w:nsid w:val="3494B2FB"/>
    <w:multiLevelType w:val="hybridMultilevel"/>
    <w:lvl w:ilvl="0">
      <w:lvlJc w:val="left"/>
      <w:lvlText w:val="(%1)"/>
      <w:numFmt w:val="lowerLetter"/>
      <w:start w:val="1"/>
    </w:lvl>
  </w:abstractNum>
  <w:abstractNum w:abstractNumId="172">
    <w:nsid w:val="B13A31"/>
    <w:multiLevelType w:val="hybridMultilevel"/>
    <w:lvl w:ilvl="0">
      <w:lvlJc w:val="left"/>
      <w:lvlText w:val="(%1)"/>
      <w:numFmt w:val="lowerRoman"/>
      <w:start w:val="1"/>
    </w:lvl>
  </w:abstractNum>
  <w:abstractNum w:abstractNumId="173">
    <w:nsid w:val="64429599"/>
    <w:multiLevelType w:val="hybridMultilevel"/>
    <w:lvl w:ilvl="0">
      <w:lvlJc w:val="left"/>
      <w:lvlText w:val="(%1)"/>
      <w:numFmt w:val="lowerLetter"/>
      <w:start w:val="2"/>
    </w:lvl>
  </w:abstractNum>
  <w:abstractNum w:abstractNumId="174">
    <w:nsid w:val="631F1690"/>
    <w:multiLevelType w:val="hybridMultilevel"/>
    <w:lvl w:ilvl="0">
      <w:lvlJc w:val="left"/>
      <w:lvlText w:val="(%1)"/>
      <w:numFmt w:val="lowerRoman"/>
      <w:start w:val="1"/>
    </w:lvl>
  </w:abstractNum>
  <w:abstractNum w:abstractNumId="175">
    <w:nsid w:val="25973E3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76">
    <w:nsid w:val="EAD6F57"/>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2"/>
    </w:lvl>
  </w:abstractNum>
  <w:abstractNum w:abstractNumId="177">
    <w:nsid w:val="6EC9D844"/>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4"/>
    </w:lvl>
  </w:abstractNum>
  <w:abstractNum w:abstractNumId="178">
    <w:nsid w:val="5C49EAEE"/>
    <w:multiLevelType w:val="hybridMultilevel"/>
    <w:lvl w:ilvl="0">
      <w:lvlJc w:val="left"/>
      <w:lvlText w:val="(%1)"/>
      <w:numFmt w:val="lowerRoman"/>
      <w:start w:val="5"/>
    </w:lvl>
  </w:abstractNum>
  <w:abstractNum w:abstractNumId="179">
    <w:nsid w:val="64AF49B"/>
    <w:multiLevelType w:val="hybridMultilevel"/>
    <w:lvl w:ilvl="0">
      <w:lvlJc w:val="left"/>
      <w:lvlText w:val="(%1)"/>
      <w:numFmt w:val="lowerLetter"/>
      <w:start w:val="3"/>
    </w:lvl>
  </w:abstractNum>
  <w:abstractNum w:abstractNumId="180">
    <w:nsid w:val="397C46BC"/>
    <w:multiLevelType w:val="hybridMultilevel"/>
    <w:lvl w:ilvl="0">
      <w:lvlJc w:val="left"/>
      <w:lvlText w:val="%1"/>
      <w:numFmt w:val="decimal"/>
      <w:start w:val="1"/>
    </w:lvl>
    <w:lvl w:ilvl="1">
      <w:lvlJc w:val="left"/>
      <w:lvlText w:val="(%2)"/>
      <w:numFmt w:val="lowerRoman"/>
      <w:start w:val="1"/>
    </w:lvl>
  </w:abstractNum>
  <w:abstractNum w:abstractNumId="181">
    <w:nsid w:val="7E448DE9"/>
    <w:multiLevelType w:val="hybridMultilevel"/>
    <w:lvl w:ilvl="0">
      <w:lvlJc w:val="left"/>
      <w:lvlText w:val="%1."/>
      <w:numFmt w:val="decimal"/>
      <w:start w:val="4"/>
    </w:lvl>
    <w:lvl w:ilvl="1">
      <w:lvlJc w:val="left"/>
      <w:lvlText w:val="%2"/>
      <w:numFmt w:val="lowerRoman"/>
      <w:start w:val="1"/>
    </w:lvl>
  </w:abstractNum>
  <w:abstractNum w:abstractNumId="182">
    <w:nsid w:val="5A9CC3E5"/>
    <w:multiLevelType w:val="hybridMultilevel"/>
    <w:lvl w:ilvl="0">
      <w:lvlJc w:val="left"/>
      <w:lvlText w:val="(%1)"/>
      <w:numFmt w:val="lowerLetter"/>
      <w:start w:val="1"/>
    </w:lvl>
  </w:abstractNum>
  <w:abstractNum w:abstractNumId="183">
    <w:nsid w:val="1AFE3625"/>
    <w:multiLevelType w:val="hybridMultilevel"/>
    <w:lvl w:ilvl="0">
      <w:lvlJc w:val="left"/>
      <w:lvlText w:val="%1"/>
      <w:numFmt w:val="decimal"/>
      <w:start w:val="1"/>
    </w:lvl>
    <w:lvl w:ilvl="1">
      <w:lvlJc w:val="left"/>
      <w:lvlText w:val="(%2)"/>
      <w:numFmt w:val="lowerLetter"/>
      <w:start w:val="2"/>
    </w:lvl>
  </w:abstractNum>
  <w:abstractNum w:abstractNumId="184">
    <w:nsid w:val="3CA88ECF"/>
    <w:multiLevelType w:val="hybridMultilevel"/>
    <w:lvl w:ilvl="0">
      <w:lvlJc w:val="left"/>
      <w:lvlText w:val="%1."/>
      <w:numFmt w:val="decimal"/>
      <w:start w:val="5"/>
    </w:lvl>
    <w:lvl w:ilvl="1">
      <w:lvlJc w:val="left"/>
      <w:lvlText w:val="(%2)"/>
      <w:numFmt w:val="lowerLetter"/>
      <w:start w:val="1"/>
    </w:lvl>
  </w:abstractNum>
  <w:abstractNum w:abstractNumId="185">
    <w:nsid w:val="6EBE4208"/>
    <w:multiLevelType w:val="hybridMultilevel"/>
    <w:lvl w:ilvl="0">
      <w:lvlJc w:val="left"/>
      <w:lvlText w:val="%1."/>
      <w:numFmt w:val="decimal"/>
      <w:start w:val="1"/>
    </w:lvl>
  </w:abstractNum>
  <w:abstractNum w:abstractNumId="186">
    <w:nsid w:val="C058DF5"/>
    <w:multiLevelType w:val="hybridMultilevel"/>
    <w:lvl w:ilvl="0">
      <w:lvlJc w:val="left"/>
      <w:lvlText w:val="%1."/>
      <w:numFmt w:val="decimal"/>
      <w:start w:val="2"/>
    </w:lvl>
  </w:abstractNum>
  <w:abstractNum w:abstractNumId="187">
    <w:nsid w:val="CBE5BE9"/>
    <w:multiLevelType w:val="hybridMultilevel"/>
    <w:lvl w:ilvl="0">
      <w:lvlJc w:val="left"/>
      <w:lvlText w:val="%1."/>
      <w:numFmt w:val="decimal"/>
      <w:start w:val="1"/>
    </w:lvl>
    <w:lvl w:ilvl="1">
      <w:lvlJc w:val="left"/>
      <w:lvlText w:val="%2."/>
      <w:numFmt w:val="lowerLetter"/>
      <w:start w:val="1"/>
    </w:lvl>
  </w:abstractNum>
  <w:abstractNum w:abstractNumId="188">
    <w:nsid w:val="3102BBE2"/>
    <w:multiLevelType w:val="hybridMultilevel"/>
    <w:lvl w:ilvl="0">
      <w:lvlJc w:val="left"/>
      <w:lvlText w:val="%1."/>
      <w:numFmt w:val="decimal"/>
      <w:start w:val="5"/>
    </w:lvl>
  </w:abstractNum>
  <w:abstractNum w:abstractNumId="189">
    <w:nsid w:val="26A02C5E"/>
    <w:multiLevelType w:val="hybridMultilevel"/>
    <w:lvl w:ilvl="0">
      <w:lvlJc w:val="left"/>
      <w:lvlText w:val="%1."/>
      <w:numFmt w:val="decimal"/>
      <w:start w:val="9"/>
    </w:lvl>
    <w:lvl w:ilvl="1">
      <w:lvlJc w:val="left"/>
      <w:lvlText w:val="(%2)"/>
      <w:numFmt w:val="lowerLetter"/>
      <w:start w:val="1"/>
    </w:lvl>
  </w:abstractNum>
  <w:abstractNum w:abstractNumId="190">
    <w:nsid w:val="541C8153"/>
    <w:multiLevelType w:val="hybridMultilevel"/>
    <w:lvl w:ilvl="0">
      <w:lvlJc w:val="left"/>
      <w:lvlText w:val="%1."/>
      <w:numFmt w:val="decimal"/>
      <w:start w:val="13"/>
    </w:lvl>
  </w:abstractNum>
  <w:abstractNum w:abstractNumId="191">
    <w:nsid w:val="67906F60"/>
    <w:multiLevelType w:val="hybridMultilevel"/>
    <w:lvl w:ilvl="0">
      <w:lvlJc w:val="left"/>
      <w:lvlText w:val="%1."/>
      <w:numFmt w:val="decimal"/>
      <w:start w:val="18"/>
    </w:lvl>
  </w:abstractNum>
  <w:abstractNum w:abstractNumId="192">
    <w:nsid w:val="10DB9DAA"/>
    <w:multiLevelType w:val="hybridMultilevel"/>
    <w:lvl w:ilvl="0">
      <w:lvlJc w:val="left"/>
      <w:lvlText w:val="%1."/>
      <w:numFmt w:val="decimal"/>
      <w:start w:val="1"/>
    </w:lvl>
  </w:abstractNum>
  <w:abstractNum w:abstractNumId="193">
    <w:nsid w:val="697D2D2"/>
    <w:multiLevelType w:val="hybridMultilevel"/>
    <w:lvl w:ilvl="0">
      <w:lvlJc w:val="left"/>
      <w:lvlText w:val="%1."/>
      <w:numFmt w:val="decimal"/>
      <w:start w:val="2"/>
    </w:lvl>
  </w:abstractNum>
  <w:abstractNum w:abstractNumId="194">
    <w:nsid w:val="6D68AB2"/>
    <w:multiLevelType w:val="hybridMultilevel"/>
    <w:lvl w:ilvl="0">
      <w:lvlJc w:val="left"/>
      <w:lvlText w:val="(%1)"/>
      <w:numFmt w:val="lowerLetter"/>
      <w:start w:val="1"/>
    </w:lvl>
  </w:abstractNum>
  <w:abstractNum w:abstractNumId="195">
    <w:nsid w:val="3A966CD0"/>
    <w:multiLevelType w:val="hybridMultilevel"/>
    <w:lvl w:ilvl="0">
      <w:lvlJc w:val="left"/>
      <w:lvlText w:val="%1."/>
      <w:numFmt w:val="decimal"/>
      <w:start w:val="3"/>
    </w:lvl>
  </w:abstractNum>
  <w:abstractNum w:abstractNumId="196">
    <w:nsid w:val="63F37E85"/>
    <w:multiLevelType w:val="hybridMultilevel"/>
    <w:lvl w:ilvl="0">
      <w:lvlJc w:val="left"/>
      <w:lvlText w:val="(%1)"/>
      <w:numFmt w:val="decimal"/>
      <w:start w:val="1"/>
    </w:lvl>
  </w:abstractNum>
  <w:abstractNum w:abstractNumId="197">
    <w:nsid w:val="5895F5FA"/>
    <w:multiLevelType w:val="hybridMultilevel"/>
    <w:lvl w:ilvl="0">
      <w:lvlJc w:val="left"/>
      <w:lvlText w:val="%1."/>
      <w:numFmt w:val="decimal"/>
      <w:start w:val="1"/>
    </w:lvl>
    <w:lvl w:ilvl="1">
      <w:lvlJc w:val="left"/>
      <w:lvlText w:val="%2)"/>
      <w:numFmt w:val="lowerLetter"/>
      <w:start w:val="1"/>
    </w:lvl>
  </w:abstractNum>
  <w:abstractNum w:abstractNumId="198">
    <w:nsid w:val="38A5D054"/>
    <w:multiLevelType w:val="hybridMultilevel"/>
    <w:lvl w:ilvl="0">
      <w:lvlJc w:val="left"/>
      <w:lvlText w:val="%1."/>
      <w:numFmt w:val="decimal"/>
      <w:start w:val="1"/>
    </w:lvl>
    <w:lvl w:ilvl="1">
      <w:lvlJc w:val="left"/>
      <w:lvlText w:val="%2)"/>
      <w:numFmt w:val="lowerLetter"/>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2019-12-29T10:48:53Z</dcterms:created>
  <dcterms:modified xsi:type="dcterms:W3CDTF">2019-12-29T10:48:53Z</dcterms:modified>
</cp:coreProperties>
</file>